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1EC8">
      <w:pPr>
        <w:pStyle w:val="2"/>
        <w:widowControl/>
        <w:spacing w:beforeAutospacing="0" w:afterAutospacing="0" w:line="360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 3：采购需求</w:t>
      </w:r>
    </w:p>
    <w:bookmarkEnd w:id="0"/>
    <w:p w14:paraId="3C148583">
      <w:pPr>
        <w:pStyle w:val="3"/>
        <w:widowControl/>
        <w:spacing w:beforeAutospacing="0" w:afterAutospacing="0" w:line="360" w:lineRule="atLeast"/>
        <w:ind w:firstLine="482" w:firstLineChars="200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一、项目概况</w:t>
      </w:r>
    </w:p>
    <w:p w14:paraId="09FF422F">
      <w:pPr>
        <w:widowControl/>
        <w:spacing w:line="360" w:lineRule="atLeas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仙葫校区全自动凝血分析仪、崩解时限测定仪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采购项目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（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编号：GUCM-202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6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-XJ-0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0*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-L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wj）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采购内容：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全自动凝血分析仪、崩解时限测定仪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等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全部。</w:t>
      </w:r>
    </w:p>
    <w:p w14:paraId="52F60BAD">
      <w:pPr>
        <w:pStyle w:val="3"/>
        <w:widowControl/>
        <w:spacing w:beforeAutospacing="0" w:afterAutospacing="0" w:line="360" w:lineRule="atLeast"/>
        <w:ind w:firstLine="482" w:firstLineChars="200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二、▲实质性技术参数要求（必须满足）</w:t>
      </w:r>
    </w:p>
    <w:p w14:paraId="31C6CC62"/>
    <w:tbl>
      <w:tblPr>
        <w:tblStyle w:val="4"/>
        <w:tblW w:w="5457" w:type="pct"/>
        <w:tblInd w:w="-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897"/>
        <w:gridCol w:w="1706"/>
        <w:gridCol w:w="4327"/>
        <w:gridCol w:w="880"/>
        <w:gridCol w:w="568"/>
      </w:tblGrid>
      <w:tr w14:paraId="09400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29ECED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▲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一、技术要求</w:t>
            </w:r>
          </w:p>
        </w:tc>
      </w:tr>
      <w:tr w14:paraId="1E2B2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0073F">
            <w:pPr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D17A72"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采购内容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7F3871"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参考品牌型号</w:t>
            </w:r>
          </w:p>
        </w:tc>
        <w:tc>
          <w:tcPr>
            <w:tcW w:w="2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D086D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3150">
            <w:pPr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计量</w:t>
            </w:r>
          </w:p>
          <w:p w14:paraId="28ED51C7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06EB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14:paraId="60DB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E531C1">
            <w:pPr>
              <w:pStyle w:val="7"/>
              <w:widowControl/>
              <w:numPr>
                <w:ilvl w:val="0"/>
                <w:numId w:val="1"/>
              </w:numPr>
              <w:ind w:left="0"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2E194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全自动凝血分析仪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</w:tcPr>
          <w:p w14:paraId="0294036A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0BDD112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B6AD2FD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C64E57E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4591FDD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C19F556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BA34C40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60681BD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49ACE0B7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A0409DF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64A386A5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DE68111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219400CB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8350718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50CEB80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1A10E0C1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23F14115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1B1FF44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61CE0C82">
            <w:pPr>
              <w:widowControl/>
              <w:snapToGrid w:val="0"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品牌：赛科希德</w:t>
            </w:r>
          </w:p>
          <w:p w14:paraId="55F8CB5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型号：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SF-8100C</w:t>
            </w:r>
          </w:p>
        </w:tc>
        <w:tc>
          <w:tcPr>
            <w:tcW w:w="2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4EB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</w:pPr>
            <w:r>
              <w:rPr>
                <w:rFonts w:hint="eastAsia"/>
              </w:rPr>
              <w:t>技术参数：</w:t>
            </w:r>
          </w:p>
          <w:p w14:paraId="2D474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▲1.测试原理：凝固法（双磁路磁珠法）、发色底物法、免疫比浊法</w:t>
            </w:r>
          </w:p>
          <w:p w14:paraId="23BFD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2.测试项目：PT、APTT、TT、FIB、各种凝血因子、LA、PC、PS、AT-Ⅲ、FDP、D-Dimer等</w:t>
            </w:r>
          </w:p>
          <w:p w14:paraId="10B3B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3.测试位：≥8个，兼容多种方法学检测</w:t>
            </w:r>
          </w:p>
          <w:p w14:paraId="59D5F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▲4.检测速度：PT单项≥360个测试/小时</w:t>
            </w:r>
          </w:p>
          <w:p w14:paraId="00C71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5.加样针：试剂针、样品针双针独立，均具有液面感应功能；试剂针快速预温，具有自动温度补偿功能，保持试剂温度恒定</w:t>
            </w:r>
          </w:p>
          <w:p w14:paraId="7198A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6.试剂位：≥36个，具有16℃低温冷藏及搅拌功能，适用多种规格试剂；试剂位倾角设计，减少试剂损耗</w:t>
            </w:r>
          </w:p>
          <w:p w14:paraId="095EA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▲7.样品位：≥60个，具有到位检测、指示灯提示功能，支持任意原试管，均可做急诊</w:t>
            </w:r>
          </w:p>
          <w:p w14:paraId="10505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8.测试杯：一次装载1000个以上，可不间断自动连续进杯</w:t>
            </w:r>
          </w:p>
          <w:p w14:paraId="75DF3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9.接口方式：RJ45、USB、RS232、RS485接口任选，实现仪器控制功能</w:t>
            </w:r>
          </w:p>
          <w:p w14:paraId="0F516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10.温度控制：仪器内部环境温度自动监控，自动修正补偿</w:t>
            </w:r>
          </w:p>
          <w:p w14:paraId="413E2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11.测试功能：任意项目自由组合，测试项目智能排序，具有异常标本自动重测，自动再稀释、自动预稀释，自动校准曲线等功能</w:t>
            </w:r>
          </w:p>
          <w:p w14:paraId="07660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12.数据存储：标准配置为工作站，中文操作界面，无限存储测试数据、定标曲线及质控结果</w:t>
            </w:r>
          </w:p>
          <w:p w14:paraId="70355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13.安全保护：全封闭操作，具有开盖停机功能</w:t>
            </w:r>
          </w:p>
          <w:p w14:paraId="52B9B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▲14.测量重复性：部分凝血活酶时间（APTT） / （s） 正常样本≤3.0%、异常样本≤5.0% ，D－二聚体（D-Dimer）/（μg/ml）正常样本≤7.5%、异常样本≤5.0%。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台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B1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1</w:t>
            </w:r>
          </w:p>
        </w:tc>
      </w:tr>
      <w:tr w14:paraId="1829E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0C1E57D">
            <w:pPr>
              <w:pStyle w:val="7"/>
              <w:widowControl/>
              <w:numPr>
                <w:ilvl w:val="0"/>
                <w:numId w:val="1"/>
              </w:numPr>
              <w:ind w:left="0"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lang w:bidi="zh-CN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8DD9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崩解时限测定仪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8FD326">
            <w:pPr>
              <w:widowControl/>
              <w:snapToGrid w:val="0"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黄海药检</w:t>
            </w:r>
          </w:p>
          <w:p w14:paraId="11D5761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型号：LB-2D </w:t>
            </w:r>
          </w:p>
        </w:tc>
        <w:tc>
          <w:tcPr>
            <w:tcW w:w="2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1F8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技术参数: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▲1、崩解吊篮：2组 (6管)</w:t>
            </w:r>
            <w:r>
              <w:rPr>
                <w:rFonts w:hint="eastAsia"/>
              </w:rPr>
              <w:br w:type="textWrapping"/>
            </w:r>
            <w:r>
              <w:t>2</w:t>
            </w:r>
            <w:r>
              <w:rPr>
                <w:rFonts w:hint="eastAsia"/>
              </w:rPr>
              <w:t>、吊篮升降频率：30~32次/分钟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▲3、吊篮升降振幅：55±1.0mm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▲</w:t>
            </w:r>
            <w:r>
              <w:t>4</w:t>
            </w:r>
            <w:r>
              <w:rPr>
                <w:rFonts w:hint="eastAsia"/>
              </w:rPr>
              <w:t>、筛网至杯底最小距离：25±</w:t>
            </w:r>
            <w:r>
              <w:t>2</w:t>
            </w:r>
            <w:r>
              <w:rPr>
                <w:rFonts w:hint="eastAsia"/>
              </w:rPr>
              <w:t>.0mm</w:t>
            </w:r>
            <w:r>
              <w:rPr>
                <w:rFonts w:hint="eastAsia"/>
              </w:rPr>
              <w:br w:type="textWrapping"/>
            </w:r>
            <w:r>
              <w:t>5</w:t>
            </w:r>
            <w:r>
              <w:rPr>
                <w:rFonts w:hint="eastAsia"/>
              </w:rPr>
              <w:t>、筛网孔径：标配2.0mm，可选配0.42mm、0.71mm、1.0mm</w:t>
            </w:r>
            <w:r>
              <w:rPr>
                <w:rFonts w:hint="eastAsia"/>
              </w:rPr>
              <w:br w:type="textWrapping"/>
            </w:r>
            <w:r>
              <w:t>6</w:t>
            </w:r>
            <w:r>
              <w:rPr>
                <w:rFonts w:hint="eastAsia"/>
              </w:rPr>
              <w:t>、调温范围：室温~45.0°C</w:t>
            </w:r>
            <w:r>
              <w:rPr>
                <w:rFonts w:hint="eastAsia"/>
              </w:rPr>
              <w:br w:type="textWrapping"/>
            </w:r>
            <w:r>
              <w:t>7</w:t>
            </w:r>
            <w:r>
              <w:rPr>
                <w:rFonts w:hint="eastAsia"/>
              </w:rPr>
              <w:t>、温度分辨率：0.1℃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8、控温精度：≤±0.3°C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9、崩解时限点：≤15次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、崩解计时时间：≤9999分钟</w:t>
            </w:r>
            <w:r>
              <w:rPr>
                <w:rFonts w:hint="eastAsia"/>
              </w:rPr>
              <w:br w:type="textWrapping"/>
            </w:r>
            <w:r>
              <w:t>11</w:t>
            </w:r>
            <w:r>
              <w:rPr>
                <w:rFonts w:hint="eastAsia"/>
              </w:rPr>
              <w:t>、电源：AC220V±10%，50Hz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BA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台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C9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1</w:t>
            </w:r>
          </w:p>
        </w:tc>
      </w:tr>
    </w:tbl>
    <w:tbl>
      <w:tblPr>
        <w:tblStyle w:val="4"/>
        <w:tblpPr w:leftFromText="180" w:rightFromText="180" w:vertAnchor="text" w:horzAnchor="page" w:tblpX="1425" w:tblpY="18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396"/>
      </w:tblGrid>
      <w:tr w14:paraId="5B8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AB4E">
            <w:pPr>
              <w:tabs>
                <w:tab w:val="left" w:pos="182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</w:t>
            </w:r>
            <w:r>
              <w:rPr>
                <w:rFonts w:hint="eastAsia" w:ascii="宋体" w:hAnsi="宋体"/>
                <w:b/>
                <w:sz w:val="24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商务需求</w:t>
            </w:r>
          </w:p>
        </w:tc>
      </w:tr>
      <w:tr w14:paraId="569F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5B3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6"/>
                <w:bCs/>
                <w:color w:val="000000"/>
                <w:sz w:val="24"/>
              </w:rPr>
              <w:t>服务地点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6449">
            <w:pPr>
              <w:widowControl/>
              <w:spacing w:line="360" w:lineRule="atLeast"/>
              <w:ind w:left="-36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4"/>
              </w:rPr>
              <w:t>广</w:t>
            </w:r>
            <w:r>
              <w:rPr>
                <w:rFonts w:hint="eastAsia"/>
                <w:color w:val="000000"/>
                <w:sz w:val="24"/>
              </w:rPr>
              <w:t>广</w:t>
            </w:r>
            <w:r>
              <w:rPr>
                <w:color w:val="000000"/>
                <w:sz w:val="24"/>
              </w:rPr>
              <w:t>西中医药大学仙葫校区指定地点。</w:t>
            </w:r>
          </w:p>
        </w:tc>
      </w:tr>
      <w:tr w14:paraId="0022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EC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bCs/>
                <w:color w:val="000000"/>
                <w:sz w:val="24"/>
              </w:rPr>
              <w:t>质保期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839">
            <w:pPr>
              <w:widowControl/>
              <w:spacing w:line="360" w:lineRule="atLeast"/>
              <w:ind w:left="-36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color w:val="000000"/>
                <w:sz w:val="24"/>
              </w:rPr>
              <w:t>≥2自最终验收合格之日起计算≥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年</w:t>
            </w:r>
          </w:p>
        </w:tc>
      </w:tr>
      <w:tr w14:paraId="31C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84A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bCs/>
                <w:color w:val="000000"/>
                <w:sz w:val="24"/>
              </w:rPr>
              <w:t>付款方式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E21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color w:val="000000"/>
                <w:sz w:val="24"/>
              </w:rPr>
              <w:t>全部货物安装验收合格后 15 个工作日内，凭全额增值税普通发票一次性支付（财政封账、假期顺延）。</w:t>
            </w:r>
          </w:p>
        </w:tc>
      </w:tr>
      <w:tr w14:paraId="6751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A8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Style w:val="6"/>
                <w:bCs/>
                <w:color w:val="000000"/>
                <w:sz w:val="24"/>
              </w:rPr>
              <w:t>报价方式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DEE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14:paraId="7F2B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B6EC">
            <w:pPr>
              <w:pStyle w:val="3"/>
              <w:widowControl/>
              <w:spacing w:beforeAutospacing="0" w:afterAutospacing="0" w:line="360" w:lineRule="atLeast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售后服务要求</w:t>
            </w:r>
          </w:p>
          <w:p w14:paraId="48F471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0A7">
            <w:pPr>
              <w:widowControl/>
              <w:spacing w:line="360" w:lineRule="atLeast"/>
              <w:ind w:left="-3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1、1.</w:t>
            </w:r>
            <w:r>
              <w:rPr>
                <w:color w:val="000000"/>
                <w:sz w:val="24"/>
              </w:rPr>
              <w:t>故障响应：接到通知</w:t>
            </w:r>
            <w:r>
              <w:rPr>
                <w:rStyle w:val="6"/>
                <w:bCs/>
                <w:color w:val="000000"/>
                <w:sz w:val="24"/>
              </w:rPr>
              <w:t>24 小时内</w:t>
            </w:r>
            <w:r>
              <w:rPr>
                <w:color w:val="000000"/>
                <w:sz w:val="24"/>
              </w:rPr>
              <w:t>到场，24 小时内维修完毕。</w:t>
            </w:r>
          </w:p>
          <w:p w14:paraId="7574C24B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紧急抢修：24 小时内到场并排除故障。</w:t>
            </w:r>
          </w:p>
          <w:p w14:paraId="7DB3C5D9">
            <w:pPr>
              <w:widowControl/>
              <w:spacing w:line="360" w:lineRule="atLeast"/>
              <w:ind w:left="-3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3 . 3.</w:t>
            </w:r>
            <w:r>
              <w:rPr>
                <w:color w:val="000000"/>
                <w:sz w:val="24"/>
              </w:rPr>
              <w:t>维修保障：同一产品经 2 次维修仍不能正常使用，供应商</w:t>
            </w:r>
            <w:r>
              <w:rPr>
                <w:rStyle w:val="6"/>
                <w:bCs/>
                <w:color w:val="000000"/>
                <w:sz w:val="24"/>
              </w:rPr>
              <w:t>免费更换</w:t>
            </w:r>
            <w:r>
              <w:rPr>
                <w:color w:val="000000"/>
                <w:sz w:val="24"/>
              </w:rPr>
              <w:t>，更换部件重新计算质保期。</w:t>
            </w:r>
          </w:p>
          <w:p w14:paraId="77BE150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4.</w:t>
            </w:r>
            <w:r>
              <w:rPr>
                <w:color w:val="000000"/>
                <w:sz w:val="24"/>
              </w:rPr>
              <w:t>质保期内：免费上门、免费维修、免费更换非人为损坏配件。</w:t>
            </w:r>
          </w:p>
        </w:tc>
      </w:tr>
      <w:tr w14:paraId="74C5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BAD0">
            <w:pPr>
              <w:pStyle w:val="3"/>
              <w:widowControl/>
              <w:spacing w:beforeAutospacing="0" w:afterAutospacing="0" w:line="360" w:lineRule="atLeast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验收要求</w:t>
            </w:r>
          </w:p>
          <w:p w14:paraId="1E6FF7C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2AC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Style w:val="6"/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Style w:val="6"/>
                <w:bCs/>
                <w:color w:val="000000"/>
                <w:sz w:val="24"/>
              </w:rPr>
              <w:t>到货验收</w:t>
            </w:r>
            <w:r>
              <w:rPr>
                <w:color w:val="000000"/>
                <w:sz w:val="24"/>
              </w:rPr>
              <w:t>：核对品牌、材质、数量、规格，不符合要求 2 日内更换补齐。</w:t>
            </w:r>
          </w:p>
          <w:p w14:paraId="0F313C56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Style w:val="6"/>
                <w:rFonts w:hint="eastAsia"/>
                <w:bCs/>
                <w:color w:val="000000"/>
                <w:sz w:val="24"/>
              </w:rPr>
              <w:t>2.</w:t>
            </w:r>
            <w:r>
              <w:rPr>
                <w:rStyle w:val="6"/>
                <w:bCs/>
                <w:color w:val="000000"/>
                <w:sz w:val="24"/>
              </w:rPr>
              <w:t>安装调试</w:t>
            </w:r>
            <w:r>
              <w:rPr>
                <w:color w:val="000000"/>
                <w:sz w:val="24"/>
              </w:rPr>
              <w:t>：供应商负责安装、培训，全程安全施工，承担安全责任。</w:t>
            </w:r>
          </w:p>
          <w:p w14:paraId="0FB08CB2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Style w:val="6"/>
                <w:rFonts w:hint="eastAsia"/>
                <w:bCs/>
                <w:color w:val="000000"/>
                <w:sz w:val="24"/>
              </w:rPr>
              <w:t>3.</w:t>
            </w:r>
            <w:r>
              <w:rPr>
                <w:rStyle w:val="6"/>
                <w:bCs/>
                <w:color w:val="000000"/>
                <w:sz w:val="24"/>
              </w:rPr>
              <w:t>最终验收</w:t>
            </w:r>
            <w:r>
              <w:rPr>
                <w:color w:val="000000"/>
                <w:sz w:val="24"/>
              </w:rPr>
              <w:t>：安装完成后双方共同验收，供应商必须在场；不合格 2 日内整改并重新验收。</w:t>
            </w:r>
          </w:p>
          <w:p w14:paraId="761868B7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4.</w:t>
            </w:r>
            <w:r>
              <w:rPr>
                <w:color w:val="000000"/>
                <w:sz w:val="24"/>
              </w:rPr>
              <w:t>货物风险自</w:t>
            </w:r>
            <w:r>
              <w:rPr>
                <w:rStyle w:val="6"/>
                <w:bCs/>
                <w:color w:val="000000"/>
                <w:sz w:val="24"/>
              </w:rPr>
              <w:t>最终验收合格之日</w:t>
            </w:r>
            <w:r>
              <w:rPr>
                <w:color w:val="000000"/>
                <w:sz w:val="24"/>
              </w:rPr>
              <w:t>起由采购人承担。</w:t>
            </w:r>
          </w:p>
          <w:p w14:paraId="3A41C53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00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9A87">
            <w:pPr>
              <w:pStyle w:val="3"/>
              <w:widowControl/>
              <w:spacing w:beforeAutospacing="0" w:afterAutospacing="0" w:line="360" w:lineRule="atLeast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违约责任</w:t>
            </w:r>
          </w:p>
          <w:p w14:paraId="78E214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CEE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</w:t>
            </w:r>
            <w:r>
              <w:rPr>
                <w:color w:val="000000"/>
                <w:sz w:val="24"/>
              </w:rPr>
              <w:t>逾期交付 / 安装：每日按</w:t>
            </w:r>
            <w:r>
              <w:rPr>
                <w:rFonts w:hint="eastAsia"/>
                <w:color w:val="000000"/>
                <w:sz w:val="24"/>
              </w:rPr>
              <w:t>合同</w:t>
            </w:r>
            <w:r>
              <w:rPr>
                <w:color w:val="000000"/>
                <w:sz w:val="24"/>
              </w:rPr>
              <w:t xml:space="preserve">总额 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%</w:t>
            </w:r>
            <w:r>
              <w:rPr>
                <w:rStyle w:val="6"/>
                <w:bCs/>
                <w:color w:val="000000"/>
                <w:sz w:val="24"/>
              </w:rPr>
              <w:t xml:space="preserve">支付违约金；逾期超 </w:t>
            </w:r>
            <w:r>
              <w:rPr>
                <w:rStyle w:val="6"/>
                <w:rFonts w:hint="eastAsia"/>
                <w:bCs/>
                <w:color w:val="000000"/>
                <w:sz w:val="24"/>
              </w:rPr>
              <w:t>7</w:t>
            </w:r>
            <w:r>
              <w:rPr>
                <w:rStyle w:val="6"/>
                <w:bCs/>
                <w:color w:val="000000"/>
                <w:sz w:val="24"/>
              </w:rPr>
              <w:t xml:space="preserve"> 日，采购人可解除合同，供应商支付合同总额</w:t>
            </w:r>
            <w:r>
              <w:rPr>
                <w:color w:val="000000"/>
                <w:sz w:val="24"/>
              </w:rPr>
              <w:t>20% 违约金。</w:t>
            </w:r>
          </w:p>
          <w:p w14:paraId="16C5D371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产品不符合要求：采购人有权拒收、退货、更换或降价；拒绝整改的，采购人可单方解约，供应商支付合同总额 20% 违约金。</w:t>
            </w:r>
          </w:p>
          <w:p w14:paraId="70517E9C">
            <w:pPr>
              <w:widowControl/>
              <w:numPr>
                <w:ilvl w:val="0"/>
                <w:numId w:val="4"/>
              </w:numPr>
              <w:spacing w:line="360" w:lineRule="atLeast"/>
              <w:ind w:left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</w:t>
            </w:r>
            <w:r>
              <w:rPr>
                <w:color w:val="000000"/>
                <w:sz w:val="24"/>
              </w:rPr>
              <w:t>未履行保修义务：每次支付</w:t>
            </w:r>
            <w:r>
              <w:rPr>
                <w:rFonts w:hint="eastAsia"/>
                <w:color w:val="000000"/>
                <w:sz w:val="24"/>
                <w:u w:val="single"/>
              </w:rPr>
              <w:t>合同</w:t>
            </w:r>
            <w:r>
              <w:rPr>
                <w:color w:val="000000"/>
                <w:sz w:val="24"/>
                <w:u w:val="single"/>
              </w:rPr>
              <w:t xml:space="preserve">总额 </w:t>
            </w:r>
            <w:r>
              <w:rPr>
                <w:rFonts w:hint="eastAsia"/>
                <w:color w:val="000000"/>
                <w:sz w:val="24"/>
                <w:u w:val="single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u w:val="single"/>
              </w:rPr>
              <w:t>‰</w:t>
            </w:r>
            <w:r>
              <w:rPr>
                <w:color w:val="000000"/>
                <w:sz w:val="24"/>
              </w:rPr>
              <w:t>违约金，采购人可委托第三方维修，费用由供应商承担。</w:t>
            </w:r>
          </w:p>
          <w:p w14:paraId="7C2C7D8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4"/>
              </w:rPr>
              <w:t>违约方赔偿守约方全部经济损失</w:t>
            </w:r>
          </w:p>
        </w:tc>
      </w:tr>
    </w:tbl>
    <w:p w14:paraId="773DAF6E"/>
    <w:p w14:paraId="65146BA3"/>
    <w:p w14:paraId="08C63CF0"/>
    <w:p w14:paraId="28D62039"/>
    <w:p w14:paraId="453E5999"/>
    <w:p w14:paraId="3177B1F0"/>
    <w:p w14:paraId="31A0E847"/>
    <w:p w14:paraId="3226437F"/>
    <w:p w14:paraId="44590937"/>
    <w:p w14:paraId="11FA7CA5"/>
    <w:p w14:paraId="2766B2A6"/>
    <w:p w14:paraId="6D6CD96F"/>
    <w:p w14:paraId="677A34F7"/>
    <w:p w14:paraId="7F6080F8"/>
    <w:p w14:paraId="669038A2"/>
    <w:p w14:paraId="2116CA66"/>
    <w:p w14:paraId="16E14AEF"/>
    <w:p w14:paraId="3D9FAC90"/>
    <w:p w14:paraId="26F8B8D8"/>
    <w:p w14:paraId="4F7B7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BAF8C"/>
    <w:multiLevelType w:val="multilevel"/>
    <w:tmpl w:val="B31BAF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D40BD39"/>
    <w:multiLevelType w:val="multilevel"/>
    <w:tmpl w:val="ED40BD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E976A70"/>
    <w:multiLevelType w:val="multilevel"/>
    <w:tmpl w:val="3E976A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3C63606"/>
    <w:multiLevelType w:val="multilevel"/>
    <w:tmpl w:val="73C63606"/>
    <w:lvl w:ilvl="0" w:tentative="0">
      <w:start w:val="1"/>
      <w:numFmt w:val="decimal"/>
      <w:lvlText w:val="%1."/>
      <w:lvlJc w:val="left"/>
      <w:pPr>
        <w:ind w:left="420" w:hanging="420"/>
      </w:pPr>
      <w:rPr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7072E"/>
    <w:rsid w:val="1B3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文军</dc:creator>
  <cp:lastModifiedBy>文军</cp:lastModifiedBy>
  <dcterms:modified xsi:type="dcterms:W3CDTF">2026-05-26T07:55:44Z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03599D1CC3F54879ACD5D4F8480B058F_11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