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A31E">
      <w:pPr>
        <w:widowControl/>
        <w:jc w:val="left"/>
        <w:rPr>
          <w:rFonts w:ascii="黑体" w:hAnsi="黑体" w:eastAsia="黑体" w:cs="宋体"/>
          <w:b/>
          <w:bCs/>
          <w:color w:val="000000"/>
          <w:sz w:val="32"/>
          <w:szCs w:val="32"/>
        </w:rPr>
      </w:pPr>
      <w:r>
        <w:rPr>
          <w:rFonts w:hint="eastAsia" w:ascii="黑体" w:hAnsi="黑体" w:eastAsia="黑体" w:cs="宋体"/>
          <w:b/>
          <w:bCs/>
          <w:color w:val="000000"/>
          <w:sz w:val="32"/>
          <w:szCs w:val="32"/>
        </w:rPr>
        <w:t>附件</w:t>
      </w:r>
      <w:r>
        <w:rPr>
          <w:rFonts w:ascii="黑体" w:hAnsi="黑体" w:eastAsia="黑体" w:cs="宋体"/>
          <w:b/>
          <w:bCs/>
          <w:color w:val="000000"/>
          <w:sz w:val="32"/>
          <w:szCs w:val="32"/>
        </w:rPr>
        <w:t>1</w:t>
      </w:r>
    </w:p>
    <w:p w14:paraId="14439D33">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采购项目需求表</w:t>
      </w:r>
    </w:p>
    <w:p w14:paraId="37A94A12">
      <w:pPr>
        <w:spacing w:line="400" w:lineRule="exact"/>
        <w:rPr>
          <w:rFonts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14:paraId="71730619">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14:paraId="626B555B">
      <w:pPr>
        <w:spacing w:line="400" w:lineRule="exact"/>
        <w:ind w:firstLine="632" w:firstLineChars="300"/>
        <w:rPr>
          <w:rFonts w:hint="eastAsia"/>
        </w:rPr>
      </w:pPr>
      <w:r>
        <w:rPr>
          <w:rFonts w:hint="eastAsia" w:ascii="宋体" w:hAnsi="宋体"/>
          <w:b/>
          <w:szCs w:val="24"/>
        </w:rPr>
        <w:t>3.本章中带▲号条款为实质性内容要求，投标时必须满足。</w:t>
      </w:r>
    </w:p>
    <w:tbl>
      <w:tblPr>
        <w:tblStyle w:val="6"/>
        <w:tblW w:w="0" w:type="auto"/>
        <w:tblInd w:w="17" w:type="dxa"/>
        <w:tblLayout w:type="fixed"/>
        <w:tblCellMar>
          <w:top w:w="13" w:type="dxa"/>
          <w:left w:w="57" w:type="dxa"/>
          <w:bottom w:w="0" w:type="dxa"/>
          <w:right w:w="57" w:type="dxa"/>
        </w:tblCellMar>
      </w:tblPr>
      <w:tblGrid>
        <w:gridCol w:w="326"/>
        <w:gridCol w:w="839"/>
        <w:gridCol w:w="94"/>
        <w:gridCol w:w="1712"/>
        <w:gridCol w:w="3667"/>
        <w:gridCol w:w="727"/>
        <w:gridCol w:w="987"/>
      </w:tblGrid>
      <w:tr w14:paraId="451022AB">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5A6FB5">
            <w:pPr>
              <w:rPr>
                <w:rFonts w:ascii="宋体" w:hAnsi="宋体"/>
                <w:b/>
                <w:bCs/>
                <w:color w:val="000000"/>
                <w:szCs w:val="21"/>
              </w:rPr>
            </w:pPr>
            <w:r>
              <w:rPr>
                <w:rFonts w:hint="eastAsia" w:ascii="宋体" w:hAnsi="宋体"/>
                <w:b/>
                <w:szCs w:val="21"/>
              </w:rPr>
              <w:t>▲</w:t>
            </w:r>
            <w:r>
              <w:rPr>
                <w:rFonts w:hint="eastAsia" w:ascii="宋体" w:hAnsi="宋体"/>
                <w:b/>
                <w:bCs/>
                <w:color w:val="000000"/>
                <w:szCs w:val="21"/>
              </w:rPr>
              <w:t>一、技术要求</w:t>
            </w:r>
          </w:p>
        </w:tc>
      </w:tr>
      <w:tr w14:paraId="3DFE6D32">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9C5D23">
            <w:pPr>
              <w:jc w:val="center"/>
              <w:rPr>
                <w:rFonts w:ascii="宋体" w:hAnsi="宋体"/>
                <w:b/>
                <w:bCs/>
                <w:color w:val="000000"/>
                <w:kern w:val="0"/>
                <w:szCs w:val="21"/>
              </w:rPr>
            </w:pPr>
            <w:r>
              <w:rPr>
                <w:rFonts w:hint="eastAsia" w:ascii="宋体" w:hAnsi="宋体"/>
                <w:b/>
                <w:bCs/>
                <w:color w:val="000000"/>
                <w:kern w:val="0"/>
                <w:szCs w:val="21"/>
              </w:rPr>
              <w:t>序号</w:t>
            </w: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AD47B3">
            <w:pPr>
              <w:jc w:val="center"/>
              <w:rPr>
                <w:rFonts w:ascii="宋体" w:hAnsi="宋体"/>
                <w:b/>
                <w:bCs/>
                <w:color w:val="000000"/>
                <w:szCs w:val="21"/>
              </w:rPr>
            </w:pPr>
            <w:r>
              <w:rPr>
                <w:rFonts w:hint="eastAsia" w:ascii="宋体" w:hAnsi="宋体"/>
                <w:b/>
                <w:bCs/>
                <w:color w:val="000000"/>
                <w:szCs w:val="21"/>
              </w:rPr>
              <w:t>采购内容</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3E76DB4">
            <w:pPr>
              <w:jc w:val="center"/>
              <w:rPr>
                <w:rFonts w:ascii="宋体" w:hAnsi="宋体"/>
                <w:b/>
                <w:bCs/>
                <w:color w:val="000000"/>
                <w:kern w:val="0"/>
                <w:szCs w:val="21"/>
              </w:rPr>
            </w:pPr>
            <w:r>
              <w:rPr>
                <w:rFonts w:hint="eastAsia" w:ascii="宋体" w:hAnsi="宋体"/>
                <w:b/>
                <w:bCs/>
                <w:color w:val="000000"/>
                <w:szCs w:val="21"/>
              </w:rPr>
              <w:t>品牌型号要求</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6CCCA0">
            <w:pPr>
              <w:jc w:val="center"/>
              <w:rPr>
                <w:rFonts w:ascii="宋体" w:hAnsi="宋体"/>
                <w:b/>
                <w:bCs/>
                <w:color w:val="000000"/>
                <w:szCs w:val="21"/>
              </w:rPr>
            </w:pPr>
            <w:r>
              <w:rPr>
                <w:rFonts w:hint="eastAsia" w:ascii="宋体" w:hAnsi="宋体" w:cs="仿宋_GB2312"/>
                <w:b/>
                <w:bCs/>
                <w:color w:val="000000"/>
                <w:kern w:val="0"/>
                <w:szCs w:val="21"/>
              </w:rPr>
              <w:t>技术参数</w:t>
            </w:r>
          </w:p>
        </w:tc>
        <w:tc>
          <w:tcPr>
            <w:tcW w:w="727" w:type="dxa"/>
            <w:tcBorders>
              <w:top w:val="single" w:color="auto" w:sz="4" w:space="0"/>
              <w:left w:val="nil"/>
              <w:bottom w:val="single" w:color="auto" w:sz="4" w:space="0"/>
              <w:right w:val="single" w:color="auto" w:sz="4" w:space="0"/>
            </w:tcBorders>
            <w:vAlign w:val="center"/>
          </w:tcPr>
          <w:p w14:paraId="02F049EE">
            <w:pPr>
              <w:jc w:val="center"/>
              <w:rPr>
                <w:rFonts w:ascii="宋体" w:hAnsi="宋体" w:cs="仿宋_GB2312"/>
                <w:b/>
                <w:bCs/>
                <w:color w:val="000000"/>
                <w:kern w:val="0"/>
                <w:szCs w:val="21"/>
              </w:rPr>
            </w:pPr>
            <w:r>
              <w:rPr>
                <w:rFonts w:hint="eastAsia" w:ascii="宋体" w:hAnsi="宋体" w:cs="仿宋_GB2312"/>
                <w:b/>
                <w:bCs/>
                <w:color w:val="000000"/>
                <w:kern w:val="0"/>
                <w:szCs w:val="21"/>
              </w:rPr>
              <w:t>计量</w:t>
            </w:r>
          </w:p>
          <w:p w14:paraId="46CDB968">
            <w:pPr>
              <w:jc w:val="center"/>
              <w:rPr>
                <w:rFonts w:ascii="宋体" w:hAnsi="宋体"/>
                <w:b/>
                <w:bCs/>
                <w:color w:val="000000"/>
                <w:szCs w:val="21"/>
              </w:rPr>
            </w:pPr>
            <w:r>
              <w:rPr>
                <w:rFonts w:hint="eastAsia" w:ascii="宋体" w:hAnsi="宋体" w:cs="仿宋_GB2312"/>
                <w:b/>
                <w:bCs/>
                <w:color w:val="000000"/>
                <w:kern w:val="0"/>
                <w:szCs w:val="21"/>
              </w:rPr>
              <w:t>单位</w:t>
            </w:r>
          </w:p>
        </w:tc>
        <w:tc>
          <w:tcPr>
            <w:tcW w:w="987" w:type="dxa"/>
            <w:tcBorders>
              <w:top w:val="single" w:color="auto" w:sz="4" w:space="0"/>
              <w:left w:val="nil"/>
              <w:bottom w:val="single" w:color="auto" w:sz="4" w:space="0"/>
              <w:right w:val="single" w:color="auto" w:sz="4" w:space="0"/>
            </w:tcBorders>
            <w:vAlign w:val="center"/>
          </w:tcPr>
          <w:p w14:paraId="1BC26339">
            <w:pPr>
              <w:jc w:val="center"/>
              <w:rPr>
                <w:rFonts w:ascii="宋体" w:hAnsi="宋体"/>
                <w:b/>
                <w:bCs/>
                <w:color w:val="000000"/>
                <w:szCs w:val="21"/>
              </w:rPr>
            </w:pPr>
            <w:r>
              <w:rPr>
                <w:rFonts w:hint="eastAsia" w:ascii="宋体" w:hAnsi="宋体" w:cs="仿宋_GB2312"/>
                <w:b/>
                <w:bCs/>
                <w:color w:val="000000"/>
                <w:kern w:val="0"/>
                <w:szCs w:val="21"/>
              </w:rPr>
              <w:t>数量</w:t>
            </w:r>
          </w:p>
        </w:tc>
      </w:tr>
      <w:tr w14:paraId="4B4DBF97">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9F7623">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5066C4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会议专用显示终端</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FF1D9D">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希沃、视隆、兴视科</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502FE4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一、屏幕显示效果</w:t>
            </w:r>
          </w:p>
          <w:p w14:paraId="590A5C7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▲1、整机屏幕采用≥86英寸液晶显示器。</w:t>
            </w:r>
          </w:p>
          <w:p w14:paraId="667244F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2、整机采用超高清LED液晶显示屏，显示比例16:9，分辨率3840×2160。</w:t>
            </w:r>
          </w:p>
          <w:p w14:paraId="1D7CC09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3、整机色域覆盖率（NTSC）≥72%</w:t>
            </w:r>
          </w:p>
          <w:p w14:paraId="09876AB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4、整机背光系统支持DC调光方式，多级亮度调节，支持白颜色背景下最暗亮度≤100nit，用于提升显示对比度。</w:t>
            </w:r>
          </w:p>
          <w:p w14:paraId="601712C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5、灰阶等级≥256级。</w:t>
            </w:r>
          </w:p>
          <w:p w14:paraId="2F03F89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6、整机屏幕蓝光占比（有害蓝光415～455nm能量综合）/（整体蓝光400～500能量综合）＜50%</w:t>
            </w:r>
          </w:p>
          <w:p w14:paraId="405C3A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7、支持标准、多媒体和节能三种图像模式调节。</w:t>
            </w:r>
          </w:p>
          <w:p w14:paraId="4D5EA36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8、支持自定义图像设置，可对对比度、屏幕色温、图像亮度、亮度范围、色彩空间调节设置。</w:t>
            </w:r>
          </w:p>
          <w:p w14:paraId="080C3E0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系统支持手势上滑调出人工智能画质调节模式（AI-PQ），在安卓通道下可根据屏幕内容自动调节画质参数，当屏幕出现人物、建筑、夜景等元素时，自动调整对比度、饱和度、锐利度、色调色相值、高光/阴影。（响应时须提供国家认可的第三方检测机构出具的关于该功能检测报告复印件）</w:t>
            </w:r>
          </w:p>
          <w:p w14:paraId="7ABF11D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10、整机视网膜蓝光危害（蓝光加权辐射亮度LB）满足IEC TR 62778:2014蓝光危害RG0级别</w:t>
            </w:r>
          </w:p>
          <w:p w14:paraId="246FD51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全通道支持纸质护眼模式，可实现画面纹理的实时调整；支持纸质纹理：牛皮纸、素描纸、宣纸、水彩纸、水纹纸；支持透明度调节；支持色温调节。（响应时须提供国家认可的第三方检测机构出具的关于该功能检测报告复印件）</w:t>
            </w:r>
          </w:p>
          <w:p w14:paraId="662397F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12、纸质护眼模式下，显示画面各像素点灰度不规则，减少背景干扰。</w:t>
            </w:r>
          </w:p>
          <w:p w14:paraId="2DD29E8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二、整机系统设计</w:t>
            </w:r>
          </w:p>
          <w:p w14:paraId="07110C0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（一）电脑系统</w:t>
            </w:r>
          </w:p>
          <w:p w14:paraId="5AC069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▲1、CPU：搭载Intel  酷睿系列≥ i5 CPU。</w:t>
            </w:r>
          </w:p>
          <w:p w14:paraId="2092A30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▲2、内存：8GB DDR4笔记本内存或以上配置。</w:t>
            </w:r>
          </w:p>
          <w:p w14:paraId="2260DA4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▲3、硬盘：256 GB或以上SSD固态硬盘。</w:t>
            </w:r>
          </w:p>
          <w:p w14:paraId="7F744AF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4、采用按压式卡扣，无需工具即可快速拆卸电脑模块。</w:t>
            </w:r>
          </w:p>
          <w:p w14:paraId="7598473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5、PC 模块可抽拉式插入整机，可实现无单独接线的拔插。</w:t>
            </w:r>
          </w:p>
          <w:p w14:paraId="2479A0E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6、具有独立非外拓展的视频输出接口：≥1 路 HDMI。</w:t>
            </w:r>
          </w:p>
          <w:p w14:paraId="6AD2085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7、具有独立非外拓展的电脑 USB 接口：至少具备 4个USB3.0 接口。</w:t>
            </w:r>
          </w:p>
          <w:p w14:paraId="02B19B4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8、具有标准 PC 防盗锁孔，确保电脑模块安全防盗。</w:t>
            </w:r>
          </w:p>
          <w:p w14:paraId="2C2E3DD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9、和整机的连接采用万兆级接口，传输速率≥10Gbps。</w:t>
            </w:r>
          </w:p>
          <w:p w14:paraId="15415F8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10、和整机的连接接口针脚数≤40pin。</w:t>
            </w:r>
          </w:p>
          <w:p w14:paraId="64071EE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（二）触摸系统</w:t>
            </w:r>
          </w:p>
          <w:p w14:paraId="5313358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▲1、支持Windows 7、Windows 8、Windows 10、Windows11、Linux、Mac Os、UOS和麒麟系统外置电脑操作系统接入时，无需安装触摸驱动。</w:t>
            </w:r>
          </w:p>
          <w:p w14:paraId="4EC9E56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2、触摸分辨率32768×32768。</w:t>
            </w:r>
          </w:p>
          <w:p w14:paraId="397C9C1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3、书写触控延迟≤25ms</w:t>
            </w:r>
          </w:p>
          <w:p w14:paraId="0E0BB3C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4、整机触控书写功能集成预测算法，在书写速度≥50cm/s，支持笔迹距离笔的距离小于20mm。</w:t>
            </w:r>
          </w:p>
          <w:p w14:paraId="0A81A07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5、触摸响应≤4ms。</w:t>
            </w:r>
          </w:p>
          <w:p w14:paraId="59D1F72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6、触摸最小识别物≤3mm。</w:t>
            </w:r>
          </w:p>
          <w:p w14:paraId="531E0D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7、整机屏幕触摸有效识别高度不超过3mm，即触摸物体距离玻璃外表面高度不超过3mm时，触摸屏识别为点击操作。</w:t>
            </w:r>
          </w:p>
          <w:p w14:paraId="3368D36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8、整机支持提笔书写，在Windows系统下可实现无需点击任意功能入口，当检测到红外笔笔尖接触屏幕时，自动进入书写模式。</w:t>
            </w:r>
          </w:p>
          <w:p w14:paraId="67D6EEA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9、整机支持手笔分离，通过提笔即写唤醒批注功能后，可进行手笔分离功能，使用笔正常书写，使用手指可以操作应用，进行点击操作。</w:t>
            </w:r>
          </w:p>
          <w:p w14:paraId="25688F9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▲10、整机触摸支持动态压力感应，支持无任何电子功能的普通书写笔在整机上书写或点压时，整机能感应压力变化，书写或点压过程笔迹呈现不同粗细。</w:t>
            </w:r>
          </w:p>
          <w:p w14:paraId="7997241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▲11、支持同一支笔，笔头、笔尾书写不同的颜色，且颜色可自定义。（响应时须提供国家认可的第三方检测机构出具的关于该功能检测报告复印件）</w:t>
            </w:r>
          </w:p>
          <w:p w14:paraId="3BDF0BE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▲12、支持智能板擦功能，系统可根据触控物体的形状自动识别出实物板擦，可擦除电子白板中的内容，无需依赖外部电子设备。（响应时须提供国家认可的第三方检测机构出具的关于该功能检测报告复印件）</w:t>
            </w:r>
          </w:p>
          <w:p w14:paraId="2733A90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13、触摸屏具有防遮挡功能，触摸接收器在单点或多点遮挡后仍能正常书写。</w:t>
            </w:r>
          </w:p>
          <w:p w14:paraId="517DDF8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▲14、采用红外触控技术，支持Windows系统中进行40点或以上触控，支持在Android系统中进行40点或以上触控。（响应时须提供国家认可的第三方检测机构出具的关于该功能检测报告复印件）</w:t>
            </w:r>
          </w:p>
          <w:p w14:paraId="5A5452B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（三）安卓系统</w:t>
            </w:r>
          </w:p>
          <w:p w14:paraId="5184602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▲1、嵌入式系统版本不低于Android 13，内存≥2GB，存储空间≥8GB。（响应时须提供国家认可的第三方检测机构出具的关于该功能检测报告复印件）</w:t>
            </w:r>
          </w:p>
          <w:p w14:paraId="17EA0F2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2、嵌入式Android操作系统下，白板支持对已经书写的笔迹和形状和颜色进行更换。</w:t>
            </w:r>
          </w:p>
          <w:p w14:paraId="769D7B5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3、在嵌入式系统下使用白板软件时，整机可自行调节屏幕亮度。</w:t>
            </w:r>
          </w:p>
          <w:p w14:paraId="37E2943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嵌入式Android操作系统下，互动白板支持不同背景颜色，同时提供学科背景，如：五线谱、信纸、田字格、英文格、篮球和足球场地平面图。（响应时须提供国家认可的第三方检测机构出具的关于该功能检测报告复印件）</w:t>
            </w:r>
          </w:p>
          <w:p w14:paraId="24B18ED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7F3C01D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6、无PC状态下，嵌入式系统内置互动白板支持全局漫游，并能在工具栏中对全局内容进行预览和移动。</w:t>
            </w:r>
          </w:p>
          <w:p w14:paraId="2975E0B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7、无PC状态下，嵌入式Android 操作系统下可使用白板书写、WPS 软件和网页浏览</w:t>
            </w:r>
          </w:p>
          <w:p w14:paraId="35C8665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8、在嵌入式Android操作系统下，能对TV多媒体USB所读取到的文件进行自动归类，可分类查找文档、板书、图片、音视频，检索后可直接在界面中打开。</w:t>
            </w:r>
          </w:p>
          <w:p w14:paraId="2C90D4F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三、整机接口设计与安全设计</w:t>
            </w:r>
          </w:p>
          <w:p w14:paraId="2A4C34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1、侧置输入接口具备2路HDMI、1路RS232、1路USB接口。</w:t>
            </w:r>
          </w:p>
          <w:p w14:paraId="0000479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2、侧置输出接口具备1路音频输出、1路触控USB输出。</w:t>
            </w:r>
          </w:p>
          <w:p w14:paraId="6735276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3、前置输入接口3路USB接口（包含1路Type-C、2路USB）。</w:t>
            </w:r>
          </w:p>
          <w:p w14:paraId="64B53E6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▲4、支持通过Type-C接口U盘进行文件传输，兼容Type-C接口手机充电。</w:t>
            </w:r>
          </w:p>
          <w:p w14:paraId="57D0221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5、整机采用一体设计，外部无任何可见内部功能模块连接线。边角采用弧形设计，表面无尖锐边缘或凸起。</w:t>
            </w:r>
          </w:p>
          <w:p w14:paraId="3F4AADD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6、整机采用全金属外壳设计，边框为金属一体成型。</w:t>
            </w:r>
          </w:p>
          <w:p w14:paraId="2BE6B84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7、整机屏幕边缘采用金属圆角包边防护，整机背板采用金属材质，有效屏蔽内部电路器件辐射；防潮耐盐雾蚀锈，适应多种教学环境。</w:t>
            </w:r>
          </w:p>
          <w:p w14:paraId="2E80FA1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四、整体无线与网络功能设计</w:t>
            </w:r>
          </w:p>
          <w:p w14:paraId="467FCD4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1、整机无需外接无线网卡，在Windows系统下可实现Wi-Fi无线上网连接、AP无线热点发射和BT蓝牙连接功能。</w:t>
            </w:r>
          </w:p>
          <w:p w14:paraId="7207D47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2、Wi-Fi和AP热点工作距离≥12m。</w:t>
            </w:r>
          </w:p>
          <w:p w14:paraId="131F5B4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3、整机支持蓝牙Bluetooth 5.4标准，固件版本号HCI13.0/LMP13.0。</w:t>
            </w:r>
          </w:p>
          <w:p w14:paraId="5A41017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4、整机PC端支持主动发现蓝牙外设从而连接（无需整机进入发现模式），支持连接外部蓝牙音箱播放音频。</w:t>
            </w:r>
          </w:p>
          <w:p w14:paraId="4F271B0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支持发出频率为18kHz-22kHz超声波信号，智能手机通过麦克风接收后，智能手机与整机无需在同一局域网内，可实现配对，一键投屏，用户无需手动输入投屏码或扫码获取投屏码；（响应时须提供国家认可的第三方检测机构出具的关于该功能检测报告复印件）</w:t>
            </w:r>
          </w:p>
          <w:p w14:paraId="7E2306E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0684F58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7、整机内置双WiFi6无线网卡（不接受外接），在Android和Windows系统下，可实现Wi-Fi无线上网连接、AP无线热点发射。</w:t>
            </w:r>
          </w:p>
          <w:p w14:paraId="78FFA61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内置双WiFi6无线网卡（不接受外接），在Android下支持无线设备同时连接数量≥32个，在Windows系统下支持无线设备同时连接≥8个；（响应时须提供国家认可的第三方检测机构出具的关于该功能检测报告复印件）</w:t>
            </w:r>
          </w:p>
          <w:p w14:paraId="4AF5AEC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9、整机无需外接无线网卡，在Windows系统下接入无线网络，切换到嵌入式Android系统下可直接实现无线上网功能，不需手动重复设置。</w:t>
            </w:r>
          </w:p>
          <w:p w14:paraId="0DB1B45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10、Wi-Fi及AP热点支持频段2.4GHz/5GHz </w:t>
            </w:r>
          </w:p>
          <w:p w14:paraId="26AB4F8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▲11、Wi-Fi制式支持IEEE 802.11 a/b/g/n/ac/ax；支持版本Wi-Fi6。</w:t>
            </w:r>
          </w:p>
          <w:p w14:paraId="1392A93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五、侧边栏教学设计要求</w:t>
            </w:r>
          </w:p>
          <w:p w14:paraId="1546606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1、整机全通道侧边栏快捷菜单包含如下小工具：批注、降半屏、截屏、放大镜、倒计时、日历、聚光灯、秒表、冻屏、倒数日、答题、节拍器</w:t>
            </w:r>
          </w:p>
          <w:p w14:paraId="6BE45A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2、整机全通道侧边栏快捷菜单小工具支持自定义，支持设置对应小工具的显示/隐藏。</w:t>
            </w:r>
          </w:p>
          <w:p w14:paraId="19849CA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3、整机全通道侧边栏支持使用批注小工具进行批注讲解，可切换书写笔颜色、截屏保存批注内容、清屏，可根据手与屏幕的接触面积自动调整板擦工具的大小。</w:t>
            </w:r>
          </w:p>
          <w:p w14:paraId="15667E9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▲4、整机全通道侧边栏支持将设备屏幕降低为半屏幕状态，点击上半屏幕可以返回全屏状态。</w:t>
            </w:r>
          </w:p>
          <w:p w14:paraId="5B333D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5、整机全通道侧边栏支持自行选择所需截取屏幕范围，点击截屏即可成功截取屏幕，并自动保存。</w:t>
            </w:r>
          </w:p>
          <w:p w14:paraId="33A0BA9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6、整机全通道侧边栏支持放大选中区域内容，并可支持对未选中区域关灯处理，实现聚光灯效果。</w:t>
            </w:r>
          </w:p>
          <w:p w14:paraId="6A1A38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全通道侧边栏支持倒计时、正计时功能；倒计时，输入某特定时间值，可精确到秒，点击开始进入倒计时；正计时，点击开始计时便自动开始，并实时显示时间。（响应时须提供国家认可的第三方检测机构出具的关于该功能检测报告复印件）</w:t>
            </w:r>
          </w:p>
          <w:p w14:paraId="5DA6085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8、整机全通道侧边栏支持打开日历，查看日期。</w:t>
            </w:r>
          </w:p>
          <w:p w14:paraId="03A259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9、整机全通道侧边栏支持聚光灯，支持聚光灯高亮区域大小调节、区域移动。</w:t>
            </w:r>
          </w:p>
          <w:p w14:paraId="52AFD6F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10、整机全通道侧边栏支持冻屏，将屏幕画面进行缩放。</w:t>
            </w:r>
          </w:p>
          <w:p w14:paraId="6FF838E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11、整机安卓和外接通道下侧边栏支持设置倒数日。</w:t>
            </w:r>
          </w:p>
          <w:p w14:paraId="5942E53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响应时须提供国家认可的第三方检测机构出具的关于该功能检测报告复印件）</w:t>
            </w:r>
          </w:p>
          <w:p w14:paraId="2898BC0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整机安卓和外接通道下侧边栏支持节拍器，支持设置节拍、轻重、节拍播放速度。全通道下可支持通过自定义按键调出该功能。（响应时须提供国家认可的第三方检测机构出具的关于该功能检测报告复印件）</w:t>
            </w:r>
          </w:p>
          <w:p w14:paraId="44C2C2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14、整机支持在设备上通过摄像头获取教室内图像并自动识别图像内所有人员，并随机抽选1人。</w:t>
            </w:r>
          </w:p>
          <w:p w14:paraId="545EABD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▲15、整机支持在设备上通过摄像头获取教室内图像并自动识别图像内所有人员，并自动进行人数统计。</w:t>
            </w:r>
          </w:p>
          <w:p w14:paraId="46B2C7F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16、整机支持在设备上，通过侧边栏实现调用windows系统运行、打开文件夹、打开任务管理。</w:t>
            </w:r>
          </w:p>
          <w:p w14:paraId="1FC271B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17、整机Windows通道支持在通过侧边栏调取软键盘。</w:t>
            </w:r>
          </w:p>
          <w:p w14:paraId="1303F5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18、整机Windows通道支持对当前运行中的应用进行窗口最大化、窗口最小化、应用强制关闭。</w:t>
            </w:r>
          </w:p>
          <w:p w14:paraId="1DCECA4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19、整机处于非内置PC通道下，支持通过侧边栏进入PC通道。</w:t>
            </w:r>
          </w:p>
          <w:p w14:paraId="30502BE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20、整机全通道侧边栏快捷菜单支持快捷调节音量、亮度，支持自动亮度模式，支持点击静音按钮静音。</w:t>
            </w:r>
          </w:p>
          <w:p w14:paraId="4AD33CD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21、整机全通道侧边栏快捷菜单中应用软件可以进行切换，无需在已经开启的应用软件全屏模式下退出当前应用再选择更换。</w:t>
            </w:r>
          </w:p>
          <w:p w14:paraId="73BF8E7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22、整机全通道侧边栏支持自定义快捷菜单，支持windows应用固定，可将应用固定后，在侧边栏进行快捷打开。</w:t>
            </w:r>
          </w:p>
          <w:p w14:paraId="487A560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23、整机全通道侧边栏快捷菜单中可实时查看物联设备的连接情况，点击设备图标即可调出中控菜单进行管控。</w:t>
            </w:r>
          </w:p>
          <w:p w14:paraId="6B5FC3D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24、整机全通道侧边栏快捷菜单支持简洁模式和常规模式切换。</w:t>
            </w:r>
          </w:p>
          <w:p w14:paraId="0950618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▲25、整机全通道侧边栏快捷菜单简洁模式，可进行打开批注、降半屏、主页的基础操作。</w:t>
            </w:r>
          </w:p>
          <w:p w14:paraId="3685758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六、教学桌面设计</w:t>
            </w:r>
          </w:p>
          <w:p w14:paraId="2BA4E9C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1、整机设备开机启动后，自动进入教学桌面，支持账号登录、退出，自动获取个人云端教学课件列表、并可进入全部课件列表。</w:t>
            </w:r>
          </w:p>
          <w:p w14:paraId="534CA97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2、整机设备支持多种身份识别方式，支持通过账号登录、手机扫码登录，并支持账号安全登录检测。</w:t>
            </w:r>
          </w:p>
          <w:p w14:paraId="23A146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3、整机设备支持统一互通的用户身份认证服务，账号登录后，打开教学白板软件教学应用工具时无需再次输入账号密码重复登录。</w:t>
            </w:r>
          </w:p>
          <w:p w14:paraId="40918C58">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设备教学桌面支持教学白板软件和文件管理软件；教学桌面首页支持自定义桌面应用，支持展示至少8个应用入口，并提供进入本机所有应用的入口。（响应时须提供国家认可的第三方检测机构出具的关于该功能检测报告复印件）</w:t>
            </w:r>
          </w:p>
          <w:p w14:paraId="4D9D023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设备可将应用编辑到教学桌面首页，编辑方式支持从教学桌面首页进入编辑，支持在全部应用列表中进入编辑2种方式。教学桌面首页应用支持无需进入应用编辑页面，在首页指定应用上长按进行移除。（响应时须提供国家认可的第三方检测机构出具的关于该功能检测报告复印件）</w:t>
            </w:r>
          </w:p>
          <w:p w14:paraId="5E69202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设备教学桌面支持查看设备盘符，支持本地磁盘和外接U盘、移动硬盘，点击即可打开该磁盘查看磁盘文件。教学桌面支持显示存储空间状态，当存储空间即将满载时候进行红色标记明显提示。（响应时须提供国家认可的第三方检测机构出具的关于该功能检测报告复印件）</w:t>
            </w:r>
          </w:p>
          <w:p w14:paraId="2C28D6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7、整机设备教学桌面支持推荐应用，推荐应用支持移除。</w:t>
            </w:r>
          </w:p>
          <w:p w14:paraId="161839F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8、整机设备教学桌面支持进行应用卸载。</w:t>
            </w:r>
          </w:p>
          <w:p w14:paraId="24401F9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设备教学桌面的教师登录账号后，可自动获取并在桌面显示最近使用的教学课件，点击课件可直接进入授课模式；并支持查看所有个人教学课件资源。（响应时须提供国家认可的第三方检测机构出具的关于该功能检测报告复印件）</w:t>
            </w:r>
          </w:p>
          <w:p w14:paraId="4957F17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10、整机设备教学桌面支持进行壁纸编辑，内置10张以上壁纸，支持自定义壁纸。</w:t>
            </w:r>
          </w:p>
          <w:p w14:paraId="7925B23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32FC1DA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12、整机设备教学桌面U盘文件查看窗口支持使用文件浏览器打开U盘。</w:t>
            </w:r>
          </w:p>
          <w:p w14:paraId="7E0FD2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13、整机设备教学桌面支持进行通道切换，当设备有其他输入源时，可在桌面点击信号源进行输入源切换。</w:t>
            </w:r>
          </w:p>
          <w:p w14:paraId="28A6182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14、整机设备教学桌面支持进行锁屏操作。</w:t>
            </w:r>
          </w:p>
          <w:p w14:paraId="33AE706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15、整机设备教学桌面支持进行重启、关机操作。</w:t>
            </w:r>
          </w:p>
          <w:p w14:paraId="50D6AE5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七、整机硬件设计</w:t>
            </w:r>
          </w:p>
          <w:p w14:paraId="2220BE2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三合一电源按键，同一电源物理按键完成Android系统和Windows系统的开机、节能熄屏、关机操作；关机状态下按按键开机；开机状态下按按键实现节能熄屏/唤醒，长按按键实现关机。（响应时须提供国家认可的第三方检测机构出具的关于该功能检测报告复印件）</w:t>
            </w:r>
          </w:p>
          <w:p w14:paraId="51529E3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2、整机具备至少6个前置按键，可实现开关机、调出中控菜单、音量+/-、护眼、录屏操作。</w:t>
            </w:r>
          </w:p>
          <w:p w14:paraId="5C7449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3、支持经典护眼模式，可通过前置面板物理功能按键一键启用经典护眼模式。</w:t>
            </w:r>
          </w:p>
          <w:p w14:paraId="043256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4、设备支持通过前置面板物理按键一键启动录屏功能，可将屏幕中显示的课件、音频内容与人声同时录制。</w:t>
            </w:r>
          </w:p>
          <w:p w14:paraId="4F796A7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5、前置 USB 接口具备防撞挡板设计，防撞挡板采用转轴式翻转。</w:t>
            </w:r>
          </w:p>
          <w:p w14:paraId="0D2B975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0E7E149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内置2.2声道扬声器，位于设备上边框，顶置朝前发声，前朝向10W高音扬声器2个，上朝向20W中低音扬声器2个，额定总功率60W。（响应时须提供国家认可的第三方检测机构出具的关于该功能检测报告复印件）</w:t>
            </w:r>
          </w:p>
          <w:p w14:paraId="38D3E908">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▲8、整机可选择高级音效设置，支持在左右声道平衡显示范围中进行更改；中低频段显示调节范围125Hz～1KHz，高频段显示调节范围 2KHz～16KHz，分贝显示-12dB～12dB 调节范围。（响应时须提供国家认可的第三方检测机构出具的关于该功能检测报告复印件）</w:t>
            </w:r>
          </w:p>
          <w:p w14:paraId="46BA7D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9、整机内置非独立外扩展的4阵列麦克风，可用于对教室环境音频进行采集，麦克风拾音距离≥12米。</w:t>
            </w:r>
          </w:p>
          <w:p w14:paraId="2BB1107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▲10、整机内置扬声器采用缝隙发声技术，喇叭采用槽式开口设计，不大于5.8mm（响应时须提供国家认可的第三方检测机构出具的关于该功能检测报告复印件）</w:t>
            </w:r>
          </w:p>
          <w:p w14:paraId="7CF7147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11、整机扬声器在100%音量下，可做到1米处声压级≥88db，10米处声压级≥79dB</w:t>
            </w:r>
          </w:p>
          <w:p w14:paraId="0F7FAC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12、内置摄像头、麦克风无需外接线材连接，无任何可见外接线材及模块化拼接痕迹，未占用整机设备端口。</w:t>
            </w:r>
          </w:p>
          <w:p w14:paraId="20E294E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13、支持标准、听力、观影和AI空间感知音效模式，AI空间感知音效模式可通过内置麦克风采集教室物理环境声音，自动生成符合当前教室物理环境的频段、音量、音效。</w:t>
            </w:r>
          </w:p>
          <w:p w14:paraId="0A567F8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14、整机内置摄像头（非外扩），PC通道下支持通过视频展台软件调用摄像头进行二维码扫码识别。</w:t>
            </w:r>
          </w:p>
          <w:p w14:paraId="5FD53A0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15、具备摄像头工作指示灯，摄像头运行时，有指示灯提示。</w:t>
            </w:r>
          </w:p>
          <w:p w14:paraId="5CE651A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▲16、整机上边框内置非独立摄像头，采用一体化集成设计，可拍摄≥1300万像素数的照片，可拍摄输出4K分辨率的视频。</w:t>
            </w:r>
          </w:p>
          <w:p w14:paraId="492F194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17、整机摄像头对角线视场角≥120度</w:t>
            </w:r>
          </w:p>
          <w:p w14:paraId="18A272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18、整机内置非独立的高清摄像头，可用于远程巡课。</w:t>
            </w:r>
          </w:p>
          <w:p w14:paraId="34A1145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19、整机摄像头支持人脸识别、清点人数、随机抽人；识别所有学生，显示标记，然后随机抽选，同时显示标记不少于60人。</w:t>
            </w:r>
          </w:p>
          <w:p w14:paraId="739EC5F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▲20、整机支持通过人脸识别进行登录账号。（响应时须提供国家认可的第三方检测机构出具的关于该功能检测报告复印件）</w:t>
            </w:r>
          </w:p>
          <w:p w14:paraId="3C5F016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▲21、整机摄像头支持环境色温判断，根据环境调节合适的显示图像效果。（响应时须提供国家认可的第三方检测机构出具的关于该功能检测报告复印件）</w:t>
            </w:r>
          </w:p>
          <w:p w14:paraId="2D8F804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en-US" w:eastAsia="zh-CN"/>
              </w:rPr>
              <w:t>八</w:t>
            </w:r>
            <w:r>
              <w:rPr>
                <w:rFonts w:hint="eastAsia" w:ascii="宋体" w:hAnsi="宋体" w:eastAsia="宋体" w:cs="宋体"/>
                <w:color w:val="000000"/>
                <w:sz w:val="18"/>
                <w:szCs w:val="18"/>
                <w:lang w:val="zh-CN"/>
              </w:rPr>
              <w:t>、智慧互动教学软件</w:t>
            </w:r>
          </w:p>
          <w:p w14:paraId="51892E7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1、统计考勤：互动反馈系统支持无感考勤功能，学生连接成功后名字可显示在签到列表上，签到列表实时统计已签到人数，并查看未到的人员。（响应时须提供国家认可的第三方检测机构所出具的关于该功能的检测报告） </w:t>
            </w:r>
          </w:p>
          <w:p w14:paraId="677008F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2、班级创建：支持老师主动创建班级，创建成功后，每次登录教师端即可直接进入班级列表，选择班级进入课堂。 </w:t>
            </w:r>
          </w:p>
          <w:p w14:paraId="351801A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互动反馈系统：具备公网互动反馈功能，可将所有学生端和教师端连接在一起构建成为一套互动反馈系统，在系统中可以单选/多选/判断等答题互动，同时支持文件下发、批注下发功能。（响应时须提供国家认可的第三方检测机构所出具的关于该功能的检测报告）</w:t>
            </w:r>
          </w:p>
          <w:p w14:paraId="4E644B5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4、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 </w:t>
            </w:r>
          </w:p>
          <w:p w14:paraId="0986D1C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5、抢答抽选：互动反馈系统支持抢答、抽选功能，活跃课堂氛围。</w:t>
            </w:r>
          </w:p>
          <w:p w14:paraId="34C8F3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6、观点云词：互动反馈系统支持主观观点收集功能，支持学生们自主提交不多于200字的观点评论，并自动生成班级关键词云，点击关键词可查看对应学生名单和具体评论信息。</w:t>
            </w:r>
          </w:p>
          <w:p w14:paraId="59008CF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课堂报告；互动反馈系统支持一键生成课堂互动报告，包含签到人数，考勤情况，互动次数，学生参与度，支持查看题目详情何答题结果。（响应时须提供国家认可的第三方检测机构所出具的关于该功能的检测报告）</w:t>
            </w:r>
          </w:p>
          <w:p w14:paraId="7AA949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8、资料分发：支持教师下载教室空间的文档格式的资料给全员和小组端，支持的文件包含但不局限于以下格式：音视频格式，文档格式，图片格式。</w:t>
            </w:r>
          </w:p>
          <w:p w14:paraId="38294CF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9、课堂答疑：教师端在连接状态下可实时接收到来自学生的提问，提问内容可根据老师操作自动判断为已读或者未读，并且支持问题放大全屏查看。 </w:t>
            </w:r>
          </w:p>
          <w:p w14:paraId="769980C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批注分发：教师端批注功能支持在课中任意时刻对教师端内容进行批注，并且支持批注内容一键保存，自动上传到教师空间，同时发送到全员学生端。（响应时须提供国家认可的第三方检测机构所出具的关于该功能的检测报告）</w:t>
            </w:r>
          </w:p>
          <w:p w14:paraId="42696C8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▲11、授课小工具：教师播放课件时，提供授课小工具，包括画笔、橡皮擦、板中板和分享批注功能等（响应时须提供国家认可的第三方检测机构所出具的关于该功能的检测报告）</w:t>
            </w:r>
          </w:p>
          <w:p w14:paraId="4F4EA5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无线传屏：教师端工具栏支持无线传屏，点击开启无线传屏则打开传屏码，老师自带笔记本在互动教学软件输入传屏码即可进行无线传屏。（响应时须提供国家认可的第三方检测机构所出具的关于该功能的检测报告）</w:t>
            </w:r>
          </w:p>
          <w:p w14:paraId="1DBCDC1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课堂动态：支持在课堂中记录课堂动态，包括老师下发的文件，老师课堂中的板书，课堂互动结果记录，课堂提问多种类型的记录。（响应时须提供国家认可的第三方检测机构所出具的关于该功能的检测报告）</w:t>
            </w:r>
          </w:p>
          <w:p w14:paraId="7BDD7CF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同步课件：当老师在全屏播放课件时，学生端也会同步进行课件播放，老师进行PPT翻页操作时，学生端会同步翻页，保证课堂课件进度同步展示。（响应时须提供国家认可的第三方检测机构所出具的关于该功能的检测报告）</w:t>
            </w:r>
          </w:p>
          <w:p w14:paraId="653B5ED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en-US" w:eastAsia="zh-CN"/>
              </w:rPr>
              <w:t>九</w:t>
            </w:r>
            <w:r>
              <w:rPr>
                <w:rFonts w:hint="eastAsia" w:ascii="宋体" w:hAnsi="宋体" w:eastAsia="宋体" w:cs="宋体"/>
                <w:color w:val="000000"/>
                <w:sz w:val="18"/>
                <w:szCs w:val="18"/>
                <w:lang w:val="zh-CN"/>
              </w:rPr>
              <w:t>、其他要求</w:t>
            </w:r>
          </w:p>
          <w:p w14:paraId="7E074E2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1、为确保货物质量及原厂品质，中标供应商在正式供货时必须提供生产厂家针对此项目的售后服务保证原件、供货证明原件，否则采购人将不予验收通过。</w:t>
            </w:r>
          </w:p>
          <w:p w14:paraId="23C4CB5A">
            <w:pPr>
              <w:rPr>
                <w:rFonts w:hint="eastAsia" w:ascii="宋体" w:hAnsi="宋体" w:cs="宋体"/>
                <w:kern w:val="0"/>
                <w:sz w:val="18"/>
                <w:szCs w:val="18"/>
                <w:lang w:bidi="zh-CN"/>
              </w:rPr>
            </w:pPr>
            <w:r>
              <w:rPr>
                <w:rFonts w:hint="eastAsia" w:ascii="宋体" w:hAnsi="宋体" w:eastAsia="宋体" w:cs="宋体"/>
                <w:color w:val="000000"/>
                <w:sz w:val="18"/>
                <w:szCs w:val="18"/>
                <w:lang w:val="zh-CN"/>
              </w:rPr>
              <w:t>2、打“▲”号条款为重要技术参数，供应商必须满足否则响应无效。成交公示期内若有其他供应商质疑，采购人有权要求成交供应商提供与谈判文件技术参数一致的全部设备一套，以便进行整体性能的核对，协助质疑答复。如出现所提供的样品不符招标要求或无法提供所有样品的视为虚假应标处理并追究法律责任。</w:t>
            </w:r>
          </w:p>
        </w:tc>
        <w:tc>
          <w:tcPr>
            <w:tcW w:w="727" w:type="dxa"/>
            <w:tcBorders>
              <w:top w:val="single" w:color="auto" w:sz="4" w:space="0"/>
              <w:left w:val="nil"/>
              <w:bottom w:val="single" w:color="auto" w:sz="4" w:space="0"/>
              <w:right w:val="single" w:color="auto" w:sz="4" w:space="0"/>
            </w:tcBorders>
            <w:vAlign w:val="center"/>
          </w:tcPr>
          <w:p w14:paraId="5963FEC7">
            <w:pPr>
              <w:widowControl/>
              <w:jc w:val="center"/>
              <w:rPr>
                <w:rFonts w:hint="eastAsia" w:ascii="宋体" w:hAnsi="宋体" w:eastAsia="宋体" w:cs="宋体"/>
                <w:color w:val="000000"/>
                <w:kern w:val="0"/>
                <w:szCs w:val="21"/>
                <w:lang w:val="en-US" w:eastAsia="zh-CN" w:bidi="zh-CN"/>
              </w:rPr>
            </w:pPr>
            <w:r>
              <w:rPr>
                <w:rFonts w:hint="eastAsia" w:ascii="宋体" w:hAnsi="宋体" w:cs="宋体"/>
                <w:color w:val="000000"/>
                <w:kern w:val="0"/>
                <w:szCs w:val="21"/>
                <w:lang w:val="en-US" w:eastAsia="zh-CN" w:bidi="zh-CN"/>
              </w:rPr>
              <w:t>台</w:t>
            </w:r>
          </w:p>
        </w:tc>
        <w:tc>
          <w:tcPr>
            <w:tcW w:w="987" w:type="dxa"/>
            <w:tcBorders>
              <w:top w:val="single" w:color="auto" w:sz="4" w:space="0"/>
              <w:left w:val="nil"/>
              <w:bottom w:val="single" w:color="auto" w:sz="4" w:space="0"/>
              <w:right w:val="single" w:color="auto" w:sz="4" w:space="0"/>
            </w:tcBorders>
            <w:vAlign w:val="center"/>
          </w:tcPr>
          <w:p w14:paraId="56F3D63E">
            <w:pPr>
              <w:widowControl/>
              <w:jc w:val="center"/>
              <w:rPr>
                <w:rFonts w:ascii="宋体" w:hAnsi="宋体" w:cs="宋体"/>
                <w:color w:val="000000"/>
                <w:kern w:val="0"/>
                <w:szCs w:val="21"/>
                <w:highlight w:val="yellow"/>
                <w:lang w:bidi="zh-CN"/>
              </w:rPr>
            </w:pPr>
            <w:r>
              <w:rPr>
                <w:rFonts w:hint="eastAsia" w:ascii="宋体" w:hAnsi="宋体" w:cs="宋体"/>
                <w:color w:val="000000"/>
                <w:kern w:val="0"/>
                <w:szCs w:val="21"/>
                <w:lang w:val="en-US" w:bidi="zh-CN"/>
              </w:rPr>
              <w:t>1</w:t>
            </w:r>
          </w:p>
        </w:tc>
      </w:tr>
      <w:tr w14:paraId="373CCE59">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ED04AA">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C78B3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无线传屏器</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052ADE">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绿联、优超者、MAXHUB</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3144336">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1.支持50米点对点1080P/60Hz传输，三芯四重防护降低延迟;</w:t>
            </w:r>
          </w:p>
          <w:p w14:paraId="7DEBC47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2.HDMI/VGA双接口兼容新旧设备;</w:t>
            </w:r>
          </w:p>
          <w:p w14:paraId="4295CE56">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3.USB+Type-C即插即用适配会议教学场景。</w:t>
            </w:r>
          </w:p>
        </w:tc>
        <w:tc>
          <w:tcPr>
            <w:tcW w:w="727" w:type="dxa"/>
            <w:tcBorders>
              <w:top w:val="single" w:color="auto" w:sz="4" w:space="0"/>
              <w:left w:val="nil"/>
              <w:bottom w:val="single" w:color="auto" w:sz="4" w:space="0"/>
              <w:right w:val="single" w:color="auto" w:sz="4" w:space="0"/>
            </w:tcBorders>
            <w:vAlign w:val="center"/>
          </w:tcPr>
          <w:p w14:paraId="1B41959E">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套</w:t>
            </w:r>
          </w:p>
        </w:tc>
        <w:tc>
          <w:tcPr>
            <w:tcW w:w="987" w:type="dxa"/>
            <w:tcBorders>
              <w:top w:val="single" w:color="auto" w:sz="4" w:space="0"/>
              <w:left w:val="nil"/>
              <w:bottom w:val="single" w:color="auto" w:sz="4" w:space="0"/>
              <w:right w:val="single" w:color="auto" w:sz="4" w:space="0"/>
            </w:tcBorders>
            <w:vAlign w:val="center"/>
          </w:tcPr>
          <w:p w14:paraId="74EA6C8B">
            <w:pPr>
              <w:widowControl/>
              <w:jc w:val="center"/>
              <w:rPr>
                <w:rFonts w:ascii="宋体" w:hAnsi="宋体" w:cs="宋体"/>
                <w:color w:val="000000"/>
                <w:kern w:val="0"/>
                <w:szCs w:val="21"/>
                <w:lang w:bidi="zh-CN"/>
              </w:rPr>
            </w:pPr>
            <w:r>
              <w:rPr>
                <w:rFonts w:hint="eastAsia" w:ascii="宋体" w:hAnsi="宋体" w:cs="宋体"/>
                <w:color w:val="000000"/>
                <w:kern w:val="0"/>
                <w:szCs w:val="21"/>
                <w:lang w:val="en-US" w:bidi="zh-CN"/>
              </w:rPr>
              <w:t>1</w:t>
            </w:r>
          </w:p>
        </w:tc>
      </w:tr>
      <w:tr w14:paraId="1C649AAE">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6A6567">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ADC3A8A">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会议桌</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3F289CF">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31AD4C">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1.面板采用25mm厚优质颗粒板双面二聚氰饰面，背板采用15mm厚优质颗粒板双面二聚氰饰面，封边采用1.0mm厚3:1配料PyC经模具生产封边，其经久耐用，不易脱落;</w:t>
            </w:r>
          </w:p>
          <w:p w14:paraId="14178515">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2.侧翻桌钢架两边脚采用优质高精度冷轧钢经及塑胶配件而成，前脚长为640mm，后脚长495mm 宽为50mm，厚平均为1.3mm牢固耐用，美观大方，抗变型，脚管采用优质钢管(50x25x1.3mm)(50X25XT1.3mm),表面采用防锈静电喷涂处理;</w:t>
            </w:r>
          </w:p>
          <w:p w14:paraId="52B91A1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3.两脚管距成度角65°，主横梁采用优质钢管管经夹具焊接，表面再经防锈静电喷涂处理，实用牢固，承受力大;</w:t>
            </w:r>
          </w:p>
          <w:p w14:paraId="45CE348E">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4.二层书网采用优质钢板(厚度为0.6mm)经模具注塑成型与圆管组成表面采用防锈静电喷涂处理，外观设计采用人体工程理念及个性化需求，整件产品拼接好，接缝齐整，整体颜色基本相符，过渡自然;</w:t>
            </w:r>
          </w:p>
          <w:p w14:paraId="4DF2EB0C">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5.台架有拉杆拆桑装需，脚轮采用固定式脚垫，造型美观大方，有现代特色;</w:t>
            </w:r>
          </w:p>
          <w:p w14:paraId="12DF4C3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6.尺寸：1200W400D750H。</w:t>
            </w:r>
          </w:p>
        </w:tc>
        <w:tc>
          <w:tcPr>
            <w:tcW w:w="727" w:type="dxa"/>
            <w:tcBorders>
              <w:top w:val="single" w:color="auto" w:sz="4" w:space="0"/>
              <w:left w:val="nil"/>
              <w:bottom w:val="single" w:color="auto" w:sz="4" w:space="0"/>
              <w:right w:val="single" w:color="auto" w:sz="4" w:space="0"/>
            </w:tcBorders>
            <w:vAlign w:val="center"/>
          </w:tcPr>
          <w:p w14:paraId="36356E0C">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987" w:type="dxa"/>
            <w:tcBorders>
              <w:top w:val="single" w:color="auto" w:sz="4" w:space="0"/>
              <w:left w:val="nil"/>
              <w:bottom w:val="single" w:color="auto" w:sz="4" w:space="0"/>
              <w:right w:val="single" w:color="auto" w:sz="4" w:space="0"/>
            </w:tcBorders>
            <w:vAlign w:val="center"/>
          </w:tcPr>
          <w:p w14:paraId="69BDCDBD">
            <w:pPr>
              <w:widowControl/>
              <w:jc w:val="center"/>
              <w:rPr>
                <w:rFonts w:ascii="宋体" w:hAnsi="宋体" w:cs="宋体"/>
                <w:color w:val="000000"/>
                <w:kern w:val="0"/>
                <w:szCs w:val="21"/>
                <w:lang w:val="en-US" w:bidi="zh-CN"/>
              </w:rPr>
            </w:pPr>
            <w:r>
              <w:rPr>
                <w:rFonts w:hint="eastAsia" w:ascii="宋体" w:hAnsi="宋体" w:cs="宋体"/>
                <w:color w:val="000000"/>
                <w:kern w:val="0"/>
                <w:szCs w:val="21"/>
                <w:lang w:val="en-US" w:bidi="zh-CN"/>
              </w:rPr>
              <w:t>12</w:t>
            </w:r>
          </w:p>
        </w:tc>
      </w:tr>
      <w:tr w14:paraId="52FF509B">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2159F4">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265184">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会议椅</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DACC3E1">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2E0374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1.椅背：背框PP+玻纤材质，高弹性透气加密网布，提供背部舒适支撑，拉力符合BIFMA测试标准。</w:t>
            </w:r>
          </w:p>
          <w:p w14:paraId="27AC651B">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2.椅座：采用3CM高弹力舒适海绵，高弹力优质透气座布，座板为定制多层弯曲板，配PP工程塑料防尘底壳，座垫可翻转。</w:t>
            </w:r>
          </w:p>
          <w:p w14:paraId="6DC90EEE">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3.扶手：优质 PP+玻纤材质，为可滑动款式。</w:t>
            </w:r>
          </w:p>
          <w:p w14:paraId="7B2814CF">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4.椅架：32.5*20.5*T1.5mm优质钢管脚架，横梁1.8厚表面喷涂烤漆工艺，尼龙材质防滑脚垫。                                                                                                                                         5.写字板：采用优质PP+玻纤加厚板面，采用实心铁支架配连接件铝合金压铸，板面可以旋转收放使用。</w:t>
            </w:r>
          </w:p>
          <w:p w14:paraId="5F2AEA98">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6.功能：整椅可折叠收纳，节省摆放空间。</w:t>
            </w:r>
          </w:p>
        </w:tc>
        <w:tc>
          <w:tcPr>
            <w:tcW w:w="727" w:type="dxa"/>
            <w:tcBorders>
              <w:top w:val="single" w:color="auto" w:sz="4" w:space="0"/>
              <w:left w:val="nil"/>
              <w:bottom w:val="single" w:color="auto" w:sz="4" w:space="0"/>
              <w:right w:val="single" w:color="auto" w:sz="4" w:space="0"/>
            </w:tcBorders>
            <w:vAlign w:val="center"/>
          </w:tcPr>
          <w:p w14:paraId="6759BBD0">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987" w:type="dxa"/>
            <w:tcBorders>
              <w:top w:val="single" w:color="auto" w:sz="4" w:space="0"/>
              <w:left w:val="nil"/>
              <w:bottom w:val="single" w:color="auto" w:sz="4" w:space="0"/>
              <w:right w:val="single" w:color="auto" w:sz="4" w:space="0"/>
            </w:tcBorders>
            <w:vAlign w:val="center"/>
          </w:tcPr>
          <w:p w14:paraId="59CCC92B">
            <w:pPr>
              <w:widowControl/>
              <w:jc w:val="center"/>
              <w:rPr>
                <w:rFonts w:ascii="宋体" w:hAnsi="宋体" w:cs="宋体"/>
                <w:color w:val="000000"/>
                <w:kern w:val="0"/>
                <w:szCs w:val="21"/>
                <w:lang w:val="en-US" w:bidi="zh-CN"/>
              </w:rPr>
            </w:pPr>
            <w:r>
              <w:rPr>
                <w:rFonts w:hint="eastAsia" w:ascii="宋体" w:hAnsi="宋体" w:cs="宋体"/>
                <w:color w:val="000000"/>
                <w:kern w:val="0"/>
                <w:szCs w:val="21"/>
                <w:lang w:val="en-US" w:bidi="zh-CN"/>
              </w:rPr>
              <w:t>24</w:t>
            </w:r>
          </w:p>
        </w:tc>
      </w:tr>
      <w:tr w14:paraId="4D9C928D">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CF9C60">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EBE67E">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发言台</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15CF93">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0D48949">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1.面板采用25mm厚优质密度板双面三聚氰胺饰面，其余板材采用15mm厚优质密度板双面三聚氰胺饰面;</w:t>
            </w:r>
          </w:p>
          <w:p w14:paraId="2F075C92">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2.封边采用1.5mm厚3:1配料PVC经模具生产封边,其余采用1.0mm厚3:1配料PVC封边,所有封边经高温全自动机器封边，经久耐用，不易脱落，优质五金配件;</w:t>
            </w:r>
          </w:p>
          <w:p w14:paraId="0EE55DE9">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3.产品尺寸：600W450D1100H。</w:t>
            </w:r>
          </w:p>
        </w:tc>
        <w:tc>
          <w:tcPr>
            <w:tcW w:w="727" w:type="dxa"/>
            <w:tcBorders>
              <w:top w:val="single" w:color="auto" w:sz="4" w:space="0"/>
              <w:left w:val="nil"/>
              <w:bottom w:val="single" w:color="auto" w:sz="4" w:space="0"/>
              <w:right w:val="single" w:color="auto" w:sz="4" w:space="0"/>
            </w:tcBorders>
            <w:vAlign w:val="center"/>
          </w:tcPr>
          <w:p w14:paraId="22891117">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987" w:type="dxa"/>
            <w:tcBorders>
              <w:top w:val="single" w:color="auto" w:sz="4" w:space="0"/>
              <w:left w:val="nil"/>
              <w:bottom w:val="single" w:color="auto" w:sz="4" w:space="0"/>
              <w:right w:val="single" w:color="auto" w:sz="4" w:space="0"/>
            </w:tcBorders>
            <w:vAlign w:val="center"/>
          </w:tcPr>
          <w:p w14:paraId="26391DCF">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1</w:t>
            </w:r>
          </w:p>
        </w:tc>
      </w:tr>
      <w:tr w14:paraId="01E90152">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FB069F">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332C56">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玻璃贴膜</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C14383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国产、定制</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6CB332D">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1.加厚隐私防窥膜，高密度磨砂材质；</w:t>
            </w:r>
          </w:p>
          <w:p w14:paraId="2BB33D4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2.加厚升级、安全无异味、遮阳防晒；</w:t>
            </w:r>
          </w:p>
          <w:p w14:paraId="4C8BF117">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3.遮蔽率：≥95%。</w:t>
            </w:r>
          </w:p>
          <w:p w14:paraId="0EA50438">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4.无甲醛、无氨基联苯、无邻甲苯安、无味、</w:t>
            </w:r>
            <w:bookmarkStart w:id="0" w:name="_GoBack"/>
            <w:bookmarkEnd w:id="0"/>
            <w:r>
              <w:rPr>
                <w:rFonts w:hint="eastAsia" w:ascii="宋体" w:hAnsi="宋体" w:cs="宋体"/>
                <w:kern w:val="0"/>
                <w:sz w:val="18"/>
                <w:szCs w:val="18"/>
                <w:lang w:bidi="zh-CN"/>
              </w:rPr>
              <w:t>无毒、环保、不含挥发性化学成分。</w:t>
            </w:r>
          </w:p>
          <w:p w14:paraId="7B5AAFB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5.可干擦、湿擦等。</w:t>
            </w:r>
          </w:p>
          <w:p w14:paraId="72AD02A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6.尺寸：</w:t>
            </w:r>
            <w:r>
              <w:rPr>
                <w:rFonts w:hint="eastAsia" w:ascii="宋体" w:hAnsi="宋体" w:cs="宋体"/>
                <w:kern w:val="0"/>
                <w:sz w:val="18"/>
                <w:szCs w:val="18"/>
                <w:lang w:val="en-US" w:bidi="zh-CN"/>
              </w:rPr>
              <w:t>2.64</w:t>
            </w:r>
            <w:r>
              <w:rPr>
                <w:rFonts w:hint="eastAsia" w:ascii="宋体" w:hAnsi="宋体" w:cs="宋体"/>
                <w:kern w:val="0"/>
                <w:sz w:val="18"/>
                <w:szCs w:val="18"/>
                <w:lang w:bidi="zh-CN"/>
              </w:rPr>
              <w:t>*1.</w:t>
            </w:r>
            <w:r>
              <w:rPr>
                <w:rFonts w:hint="eastAsia" w:ascii="宋体" w:hAnsi="宋体" w:cs="宋体"/>
                <w:kern w:val="0"/>
                <w:sz w:val="18"/>
                <w:szCs w:val="18"/>
                <w:lang w:val="en-US" w:bidi="zh-CN"/>
              </w:rPr>
              <w:t>16</w:t>
            </w:r>
            <w:r>
              <w:rPr>
                <w:rFonts w:hint="eastAsia" w:ascii="宋体" w:hAnsi="宋体" w:cs="宋体"/>
                <w:kern w:val="0"/>
                <w:sz w:val="18"/>
                <w:szCs w:val="18"/>
                <w:lang w:bidi="zh-CN"/>
              </w:rPr>
              <w:t>m</w:t>
            </w:r>
          </w:p>
        </w:tc>
        <w:tc>
          <w:tcPr>
            <w:tcW w:w="727" w:type="dxa"/>
            <w:tcBorders>
              <w:top w:val="single" w:color="auto" w:sz="4" w:space="0"/>
              <w:left w:val="nil"/>
              <w:bottom w:val="single" w:color="auto" w:sz="4" w:space="0"/>
              <w:right w:val="single" w:color="auto" w:sz="4" w:space="0"/>
            </w:tcBorders>
            <w:vAlign w:val="center"/>
          </w:tcPr>
          <w:p w14:paraId="2E3F6ADF">
            <w:pPr>
              <w:widowControl/>
              <w:jc w:val="center"/>
              <w:rPr>
                <w:rFonts w:ascii="宋体" w:hAnsi="宋体" w:cs="宋体"/>
                <w:color w:val="000000"/>
                <w:kern w:val="0"/>
                <w:szCs w:val="21"/>
                <w:lang w:bidi="zh-CN"/>
              </w:rPr>
            </w:pPr>
            <w:r>
              <w:rPr>
                <w:rFonts w:hint="eastAsia" w:ascii="宋体" w:hAnsi="宋体" w:eastAsia="宋体" w:cs="宋体"/>
                <w:color w:val="000000"/>
                <w:kern w:val="0"/>
                <w:szCs w:val="21"/>
                <w:lang w:bidi="zh-CN"/>
              </w:rPr>
              <w:t>㎡</w:t>
            </w:r>
          </w:p>
        </w:tc>
        <w:tc>
          <w:tcPr>
            <w:tcW w:w="987" w:type="dxa"/>
            <w:tcBorders>
              <w:top w:val="single" w:color="auto" w:sz="4" w:space="0"/>
              <w:left w:val="nil"/>
              <w:bottom w:val="single" w:color="auto" w:sz="4" w:space="0"/>
              <w:right w:val="single" w:color="auto" w:sz="4" w:space="0"/>
            </w:tcBorders>
            <w:vAlign w:val="center"/>
          </w:tcPr>
          <w:p w14:paraId="0A8E1BBB">
            <w:pPr>
              <w:widowControl/>
              <w:jc w:val="center"/>
              <w:rPr>
                <w:rFonts w:ascii="宋体" w:hAnsi="宋体" w:cs="宋体"/>
                <w:color w:val="000000"/>
                <w:kern w:val="0"/>
                <w:szCs w:val="21"/>
                <w:lang w:bidi="zh-CN"/>
              </w:rPr>
            </w:pPr>
            <w:r>
              <w:rPr>
                <w:rFonts w:hint="eastAsia" w:ascii="宋体" w:hAnsi="宋体" w:cs="宋体"/>
                <w:color w:val="000000"/>
                <w:kern w:val="0"/>
                <w:szCs w:val="21"/>
                <w:lang w:val="en-US" w:bidi="zh-CN"/>
              </w:rPr>
              <w:t>2</w:t>
            </w:r>
          </w:p>
        </w:tc>
      </w:tr>
      <w:tr w14:paraId="13E86038">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EF0B18">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513E5B6">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移动支架</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5E386FE">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国产、定制</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A49708">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1.挂架材质：冷轧钢板；</w:t>
            </w:r>
          </w:p>
          <w:p w14:paraId="7FBF8D33">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2.适用一体机尺寸：75英寸-86英寸；</w:t>
            </w:r>
          </w:p>
          <w:p w14:paraId="3A5A383F">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3.配置置物托盘，一体式底座；</w:t>
            </w:r>
          </w:p>
          <w:p w14:paraId="7B3C60D7">
            <w:pPr>
              <w:widowControl/>
              <w:jc w:val="left"/>
              <w:rPr>
                <w:rFonts w:hint="eastAsia" w:ascii="宋体" w:hAnsi="宋体" w:cs="宋体"/>
                <w:kern w:val="0"/>
                <w:sz w:val="18"/>
                <w:szCs w:val="18"/>
                <w:lang w:bidi="zh-CN"/>
              </w:rPr>
            </w:pPr>
            <w:r>
              <w:rPr>
                <w:rFonts w:hint="eastAsia" w:ascii="宋体" w:hAnsi="宋体"/>
                <w:color w:val="000000"/>
                <w:sz w:val="18"/>
                <w:szCs w:val="18"/>
                <w:lang w:val="zh-CN"/>
              </w:rPr>
              <w:t>4.带万向橡胶轮，耐磨减震，脚踩刹车，方便移动与固定。</w:t>
            </w:r>
          </w:p>
        </w:tc>
        <w:tc>
          <w:tcPr>
            <w:tcW w:w="727" w:type="dxa"/>
            <w:tcBorders>
              <w:top w:val="single" w:color="auto" w:sz="4" w:space="0"/>
              <w:left w:val="nil"/>
              <w:bottom w:val="single" w:color="auto" w:sz="4" w:space="0"/>
              <w:right w:val="single" w:color="auto" w:sz="4" w:space="0"/>
            </w:tcBorders>
            <w:vAlign w:val="center"/>
          </w:tcPr>
          <w:p w14:paraId="2D20DB6C">
            <w:pPr>
              <w:widowControl/>
              <w:jc w:val="center"/>
              <w:rPr>
                <w:rFonts w:ascii="宋体" w:hAnsi="宋体" w:cs="宋体"/>
                <w:color w:val="000000"/>
                <w:kern w:val="0"/>
                <w:szCs w:val="21"/>
                <w:lang w:val="en-US" w:bidi="zh-CN"/>
              </w:rPr>
            </w:pPr>
            <w:r>
              <w:rPr>
                <w:rFonts w:hint="eastAsia" w:ascii="宋体" w:hAnsi="宋体" w:cs="宋体"/>
                <w:color w:val="000000"/>
                <w:kern w:val="0"/>
                <w:szCs w:val="21"/>
                <w:lang w:bidi="zh-CN"/>
              </w:rPr>
              <w:t>套</w:t>
            </w:r>
          </w:p>
        </w:tc>
        <w:tc>
          <w:tcPr>
            <w:tcW w:w="987" w:type="dxa"/>
            <w:tcBorders>
              <w:top w:val="single" w:color="auto" w:sz="4" w:space="0"/>
              <w:left w:val="nil"/>
              <w:bottom w:val="single" w:color="auto" w:sz="4" w:space="0"/>
              <w:right w:val="single" w:color="auto" w:sz="4" w:space="0"/>
            </w:tcBorders>
            <w:vAlign w:val="center"/>
          </w:tcPr>
          <w:p w14:paraId="78C3AADC">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1</w:t>
            </w:r>
          </w:p>
        </w:tc>
      </w:tr>
      <w:tr w14:paraId="449E3D92">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5C03F8">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5EA705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安装调试</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C37F009">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国产、定制</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08970BD">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1.选定最佳安装位置，将所有设备规范安装，达到客户要求。</w:t>
            </w:r>
          </w:p>
          <w:p w14:paraId="4B2CE18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2.现场所需线材的布线施工，布线规整，选定最佳线路走向，达到布线规范及不浪费材料的标准。</w:t>
            </w:r>
          </w:p>
          <w:p w14:paraId="1D1B3EB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3.所有设备安装完毕，调试链接起来，实现设备的所有功能；</w:t>
            </w:r>
          </w:p>
          <w:p w14:paraId="203332E2">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4.所有安装及调试需专业技术员进行，保证效率与专业性；</w:t>
            </w:r>
          </w:p>
          <w:p w14:paraId="66ECEAEE">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5.安装所需辅材（包含线槽、线管、插座、电源线等）；</w:t>
            </w:r>
          </w:p>
          <w:p w14:paraId="333EF26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6.安装完毕，做好现场清洁工作，交付一个干净美观的使用现场；</w:t>
            </w:r>
          </w:p>
          <w:p w14:paraId="2FD5CCD3">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7.调试完交付使用，培训客户使用，做到动用易用好用。</w:t>
            </w:r>
          </w:p>
        </w:tc>
        <w:tc>
          <w:tcPr>
            <w:tcW w:w="727" w:type="dxa"/>
            <w:tcBorders>
              <w:top w:val="single" w:color="auto" w:sz="4" w:space="0"/>
              <w:left w:val="nil"/>
              <w:bottom w:val="single" w:color="auto" w:sz="4" w:space="0"/>
              <w:right w:val="single" w:color="auto" w:sz="4" w:space="0"/>
            </w:tcBorders>
            <w:vAlign w:val="center"/>
          </w:tcPr>
          <w:p w14:paraId="19E1E252">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项</w:t>
            </w:r>
          </w:p>
        </w:tc>
        <w:tc>
          <w:tcPr>
            <w:tcW w:w="987" w:type="dxa"/>
            <w:tcBorders>
              <w:top w:val="single" w:color="auto" w:sz="4" w:space="0"/>
              <w:left w:val="nil"/>
              <w:bottom w:val="single" w:color="auto" w:sz="4" w:space="0"/>
              <w:right w:val="single" w:color="auto" w:sz="4" w:space="0"/>
            </w:tcBorders>
            <w:vAlign w:val="center"/>
          </w:tcPr>
          <w:p w14:paraId="67671631">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1</w:t>
            </w:r>
          </w:p>
        </w:tc>
      </w:tr>
      <w:tr w14:paraId="2DCEF4C4">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3807B4">
            <w:pPr>
              <w:rPr>
                <w:rFonts w:ascii="宋体" w:hAnsi="宋体"/>
                <w:b/>
                <w:bCs/>
                <w:color w:val="000000"/>
                <w:szCs w:val="21"/>
              </w:rPr>
            </w:pPr>
            <w:r>
              <w:rPr>
                <w:rFonts w:hint="eastAsia" w:ascii="宋体" w:hAnsi="宋体"/>
                <w:b/>
                <w:szCs w:val="21"/>
              </w:rPr>
              <w:t>▲</w:t>
            </w:r>
            <w:r>
              <w:rPr>
                <w:rFonts w:hint="eastAsia" w:ascii="宋体" w:hAnsi="宋体"/>
                <w:b/>
                <w:bCs/>
                <w:color w:val="000000"/>
                <w:szCs w:val="21"/>
              </w:rPr>
              <w:t>二、商务要求</w:t>
            </w:r>
          </w:p>
        </w:tc>
      </w:tr>
      <w:tr w14:paraId="590FEC4B">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385515">
            <w:pPr>
              <w:jc w:val="center"/>
              <w:rPr>
                <w:rFonts w:hint="eastAsia" w:ascii="宋体" w:hAnsi="宋体" w:cs="宋体"/>
                <w:b/>
                <w:bCs/>
                <w:szCs w:val="21"/>
              </w:rPr>
            </w:pPr>
            <w:r>
              <w:rPr>
                <w:rFonts w:hint="eastAsia" w:ascii="宋体" w:hAnsi="宋体" w:cs="宋体"/>
                <w:b/>
                <w:bCs/>
                <w:szCs w:val="21"/>
              </w:rPr>
              <w:t>质保期</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A9D9089">
            <w:pPr>
              <w:rPr>
                <w:rFonts w:ascii="宋体" w:hAnsi="宋体" w:cs="宋体"/>
                <w:szCs w:val="21"/>
                <w:highlight w:val="none"/>
              </w:rPr>
            </w:pPr>
            <w:r>
              <w:rPr>
                <w:rFonts w:ascii="宋体" w:hAnsi="宋体" w:cs="宋体"/>
                <w:b/>
                <w:szCs w:val="21"/>
                <w:highlight w:val="none"/>
              </w:rPr>
              <w:t>1.</w:t>
            </w:r>
            <w:r>
              <w:rPr>
                <w:rFonts w:hint="eastAsia" w:ascii="宋体" w:hAnsi="宋体" w:cs="宋体"/>
                <w:b/>
                <w:szCs w:val="21"/>
                <w:highlight w:val="none"/>
              </w:rPr>
              <w:t>质保期</w:t>
            </w:r>
            <w:r>
              <w:rPr>
                <w:rFonts w:hint="eastAsia" w:ascii="宋体" w:hAnsi="宋体" w:cs="宋体"/>
                <w:b/>
                <w:szCs w:val="21"/>
                <w:highlight w:val="none"/>
                <w:u w:val="single"/>
                <w:lang w:val="en-US" w:eastAsia="zh-CN"/>
              </w:rPr>
              <w:t xml:space="preserve"> </w:t>
            </w:r>
            <w:r>
              <w:rPr>
                <w:rFonts w:hint="eastAsia" w:ascii="宋体" w:hAnsi="宋体" w:cs="宋体"/>
                <w:b/>
                <w:szCs w:val="21"/>
                <w:highlight w:val="none"/>
                <w:u w:val="single"/>
              </w:rPr>
              <w:t xml:space="preserve">1 </w:t>
            </w:r>
            <w:r>
              <w:rPr>
                <w:rFonts w:hint="eastAsia" w:ascii="宋体" w:hAnsi="宋体" w:cs="宋体"/>
                <w:b/>
                <w:szCs w:val="21"/>
                <w:highlight w:val="none"/>
              </w:rPr>
              <w:t>年。</w:t>
            </w:r>
            <w:r>
              <w:rPr>
                <w:rFonts w:hint="eastAsia" w:ascii="宋体" w:hAnsi="宋体" w:cs="宋体"/>
                <w:szCs w:val="21"/>
                <w:highlight w:val="none"/>
              </w:rPr>
              <w:t>（分项货物服务要求中有特别注明的，按特别注明的执行）</w:t>
            </w:r>
          </w:p>
          <w:p w14:paraId="3F7A4CB0">
            <w:pPr>
              <w:rPr>
                <w:rFonts w:hint="eastAsia" w:ascii="宋体" w:hAnsi="宋体" w:cs="宋体"/>
                <w:szCs w:val="21"/>
                <w:highlight w:val="none"/>
              </w:rPr>
            </w:pPr>
            <w:r>
              <w:rPr>
                <w:rFonts w:hint="eastAsia" w:ascii="宋体" w:hAnsi="宋体" w:cs="宋体"/>
                <w:szCs w:val="21"/>
                <w:highlight w:val="none"/>
              </w:rPr>
              <w:t>2.所有货物服务</w:t>
            </w:r>
            <w:r>
              <w:rPr>
                <w:rFonts w:ascii="宋体" w:hAnsi="宋体" w:cs="宋体"/>
                <w:szCs w:val="21"/>
                <w:highlight w:val="none"/>
              </w:rPr>
              <w:t>按</w:t>
            </w:r>
            <w:r>
              <w:rPr>
                <w:rFonts w:hint="eastAsia" w:ascii="宋体" w:hAnsi="宋体" w:cs="宋体"/>
                <w:szCs w:val="21"/>
                <w:highlight w:val="none"/>
              </w:rPr>
              <w:t>国家</w:t>
            </w:r>
            <w:r>
              <w:rPr>
                <w:rFonts w:ascii="宋体" w:hAnsi="宋体" w:cs="宋体"/>
                <w:szCs w:val="21"/>
                <w:highlight w:val="none"/>
              </w:rPr>
              <w:t>“三包”</w:t>
            </w:r>
            <w:r>
              <w:rPr>
                <w:rFonts w:hint="eastAsia" w:ascii="宋体" w:hAnsi="宋体" w:cs="宋体"/>
                <w:szCs w:val="21"/>
                <w:highlight w:val="none"/>
              </w:rPr>
              <w:t>有关</w:t>
            </w:r>
            <w:r>
              <w:rPr>
                <w:rFonts w:ascii="宋体" w:hAnsi="宋体" w:cs="宋体"/>
                <w:szCs w:val="21"/>
                <w:highlight w:val="none"/>
              </w:rPr>
              <w:t>规定执行“三包”</w:t>
            </w:r>
            <w:r>
              <w:rPr>
                <w:rFonts w:hint="eastAsia" w:ascii="宋体" w:hAnsi="宋体" w:cs="宋体"/>
                <w:szCs w:val="21"/>
                <w:highlight w:val="none"/>
              </w:rPr>
              <w:t>。质保期自交付验收合格之日起计算，质保期内提供上门维修；质保期结束后，提供终身维护，并优惠提供相关零配件。</w:t>
            </w:r>
          </w:p>
        </w:tc>
      </w:tr>
      <w:tr w14:paraId="0A4068C3">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5975F4">
            <w:pPr>
              <w:jc w:val="center"/>
              <w:rPr>
                <w:rFonts w:hint="eastAsia" w:ascii="宋体" w:hAnsi="宋体" w:cs="宋体"/>
                <w:b/>
                <w:bCs/>
                <w:szCs w:val="21"/>
              </w:rPr>
            </w:pPr>
            <w:r>
              <w:rPr>
                <w:rFonts w:hint="eastAsia" w:ascii="宋体" w:hAnsi="宋体" w:cs="宋体"/>
                <w:b/>
                <w:bCs/>
                <w:szCs w:val="21"/>
              </w:rPr>
              <w:t>产品及售后服务要求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B73A4A">
            <w:pPr>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成交人</w:t>
            </w:r>
            <w:r>
              <w:rPr>
                <w:rFonts w:ascii="宋体" w:hAnsi="宋体" w:cs="宋体"/>
                <w:szCs w:val="21"/>
                <w:highlight w:val="none"/>
              </w:rPr>
              <w:t>交付的所有</w:t>
            </w:r>
            <w:r>
              <w:rPr>
                <w:rFonts w:ascii="宋体" w:hAnsi="宋体" w:cs="宋体"/>
                <w:b/>
                <w:szCs w:val="21"/>
                <w:highlight w:val="none"/>
              </w:rPr>
              <w:t>设备</w:t>
            </w:r>
            <w:r>
              <w:rPr>
                <w:rFonts w:ascii="宋体" w:hAnsi="宋体" w:cs="宋体"/>
                <w:szCs w:val="21"/>
                <w:highlight w:val="none"/>
              </w:rPr>
              <w:t>必须是签订合同之日</w:t>
            </w:r>
            <w:r>
              <w:rPr>
                <w:rFonts w:hint="eastAsia" w:ascii="宋体" w:hAnsi="宋体" w:cs="宋体"/>
                <w:szCs w:val="21"/>
                <w:highlight w:val="none"/>
                <w:lang w:eastAsia="zh-CN"/>
              </w:rPr>
              <w:t>近</w:t>
            </w:r>
            <w:r>
              <w:rPr>
                <w:rFonts w:hint="eastAsia" w:ascii="宋体" w:hAnsi="宋体" w:cs="宋体"/>
                <w:b/>
                <w:szCs w:val="21"/>
                <w:highlight w:val="none"/>
                <w:u w:val="single"/>
              </w:rPr>
              <w:t xml:space="preserve">  1  </w:t>
            </w:r>
            <w:r>
              <w:rPr>
                <w:rFonts w:ascii="宋体" w:hAnsi="宋体" w:cs="宋体"/>
                <w:b/>
                <w:szCs w:val="21"/>
                <w:highlight w:val="none"/>
              </w:rPr>
              <w:t>年</w:t>
            </w:r>
            <w:r>
              <w:rPr>
                <w:rFonts w:ascii="宋体" w:hAnsi="宋体" w:cs="宋体"/>
                <w:szCs w:val="21"/>
                <w:highlight w:val="none"/>
              </w:rPr>
              <w:t>内生产的产品。</w:t>
            </w:r>
          </w:p>
          <w:p w14:paraId="5EA6CF9D">
            <w:pPr>
              <w:rPr>
                <w:rFonts w:ascii="宋体" w:hAnsi="宋体" w:cs="宋体"/>
                <w:b/>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送货至采购人指定地点，协助进行安装场地设计，完成安装和调试。所有安装应符合国家、行业相关标准及规范。</w:t>
            </w:r>
            <w:r>
              <w:rPr>
                <w:rFonts w:hint="eastAsia" w:ascii="宋体" w:hAnsi="宋体" w:cs="宋体"/>
                <w:b/>
                <w:szCs w:val="21"/>
                <w:highlight w:val="none"/>
              </w:rPr>
              <w:t>（所有货物仅接受现场交付，不接受邮递）</w:t>
            </w:r>
          </w:p>
          <w:p w14:paraId="78185AC9">
            <w:pPr>
              <w:rPr>
                <w:rFonts w:ascii="宋体" w:hAnsi="宋体" w:cs="宋体"/>
                <w:szCs w:val="21"/>
                <w:highlight w:val="none"/>
              </w:rPr>
            </w:pPr>
            <w:r>
              <w:rPr>
                <w:rFonts w:ascii="宋体" w:hAnsi="宋体" w:cs="宋体"/>
                <w:szCs w:val="21"/>
                <w:highlight w:val="none"/>
              </w:rPr>
              <w:t>3.为采购</w:t>
            </w:r>
            <w:r>
              <w:rPr>
                <w:rFonts w:hint="eastAsia" w:ascii="宋体" w:hAnsi="宋体" w:cs="宋体"/>
                <w:szCs w:val="21"/>
                <w:highlight w:val="none"/>
              </w:rPr>
              <w:t>人</w:t>
            </w:r>
            <w:r>
              <w:rPr>
                <w:rFonts w:ascii="宋体" w:hAnsi="宋体" w:cs="宋体"/>
                <w:szCs w:val="21"/>
                <w:highlight w:val="none"/>
              </w:rPr>
              <w:t>提供</w:t>
            </w:r>
            <w:r>
              <w:rPr>
                <w:rFonts w:hint="eastAsia" w:ascii="宋体" w:hAnsi="宋体" w:cs="宋体"/>
                <w:szCs w:val="21"/>
                <w:highlight w:val="none"/>
              </w:rPr>
              <w:t>产品</w:t>
            </w:r>
            <w:r>
              <w:rPr>
                <w:rFonts w:ascii="宋体" w:hAnsi="宋体" w:cs="宋体"/>
                <w:szCs w:val="21"/>
                <w:highlight w:val="none"/>
              </w:rPr>
              <w:t>操作</w:t>
            </w:r>
            <w:r>
              <w:rPr>
                <w:rFonts w:hint="eastAsia" w:ascii="宋体" w:hAnsi="宋体" w:cs="宋体"/>
                <w:szCs w:val="21"/>
                <w:highlight w:val="none"/>
              </w:rPr>
              <w:t>、维修、日常养护等方面的</w:t>
            </w:r>
            <w:r>
              <w:rPr>
                <w:rFonts w:ascii="宋体" w:hAnsi="宋体" w:cs="宋体"/>
                <w:szCs w:val="21"/>
                <w:highlight w:val="none"/>
              </w:rPr>
              <w:t>培训，确保</w:t>
            </w:r>
            <w:r>
              <w:rPr>
                <w:rFonts w:hint="eastAsia" w:ascii="宋体" w:hAnsi="宋体" w:cs="宋体"/>
                <w:szCs w:val="21"/>
                <w:highlight w:val="none"/>
              </w:rPr>
              <w:t>采购方使用人员</w:t>
            </w:r>
            <w:r>
              <w:rPr>
                <w:rFonts w:ascii="宋体" w:hAnsi="宋体" w:cs="宋体"/>
                <w:szCs w:val="21"/>
                <w:highlight w:val="none"/>
              </w:rPr>
              <w:t>能独立操作使用</w:t>
            </w:r>
            <w:r>
              <w:rPr>
                <w:rFonts w:hint="eastAsia" w:ascii="宋体" w:hAnsi="宋体" w:cs="宋体"/>
                <w:szCs w:val="21"/>
                <w:highlight w:val="none"/>
              </w:rPr>
              <w:t>，</w:t>
            </w:r>
            <w:r>
              <w:rPr>
                <w:rFonts w:ascii="宋体" w:hAnsi="宋体" w:cs="宋体"/>
                <w:szCs w:val="21"/>
                <w:highlight w:val="none"/>
              </w:rPr>
              <w:t>培训人数</w:t>
            </w:r>
            <w:r>
              <w:rPr>
                <w:rFonts w:hint="eastAsia" w:ascii="宋体" w:hAnsi="宋体" w:cs="宋体"/>
                <w:szCs w:val="21"/>
                <w:highlight w:val="none"/>
              </w:rPr>
              <w:t>、时间、地点等</w:t>
            </w:r>
            <w:r>
              <w:rPr>
                <w:rFonts w:ascii="宋体" w:hAnsi="宋体" w:cs="宋体"/>
                <w:szCs w:val="21"/>
                <w:highlight w:val="none"/>
              </w:rPr>
              <w:t>由采购</w:t>
            </w:r>
            <w:r>
              <w:rPr>
                <w:rFonts w:hint="eastAsia" w:ascii="宋体" w:hAnsi="宋体" w:cs="宋体"/>
                <w:szCs w:val="21"/>
                <w:highlight w:val="none"/>
              </w:rPr>
              <w:t>人指定</w:t>
            </w:r>
            <w:r>
              <w:rPr>
                <w:rFonts w:ascii="宋体" w:hAnsi="宋体" w:cs="宋体"/>
                <w:szCs w:val="21"/>
                <w:highlight w:val="none"/>
              </w:rPr>
              <w:t>。</w:t>
            </w:r>
          </w:p>
          <w:p w14:paraId="0141D358">
            <w:pPr>
              <w:spacing w:line="380" w:lineRule="exact"/>
              <w:rPr>
                <w:rFonts w:ascii="宋体" w:hAnsi="宋体" w:cs="宋体"/>
                <w:szCs w:val="21"/>
                <w:highlight w:val="none"/>
              </w:rPr>
            </w:pPr>
            <w:r>
              <w:rPr>
                <w:rFonts w:ascii="宋体" w:hAnsi="宋体" w:cs="宋体"/>
                <w:szCs w:val="21"/>
                <w:highlight w:val="none"/>
              </w:rPr>
              <w:t>4.故障响应时间：</w:t>
            </w:r>
            <w:r>
              <w:rPr>
                <w:rFonts w:hint="eastAsia" w:ascii="Arial" w:hAnsi="Arial" w:cs="Arial"/>
                <w:szCs w:val="21"/>
                <w:highlight w:val="none"/>
              </w:rPr>
              <w:t>乙方在接到甲方通知后在按</w:t>
            </w:r>
            <w:r>
              <w:rPr>
                <w:rFonts w:hint="eastAsia" w:ascii="Arial" w:hAnsi="Arial" w:cs="Arial"/>
                <w:szCs w:val="21"/>
                <w:highlight w:val="none"/>
                <w:u w:val="single"/>
                <w:lang w:val="en-US" w:eastAsia="zh-CN"/>
              </w:rPr>
              <w:t xml:space="preserve"> </w:t>
            </w:r>
            <w:r>
              <w:rPr>
                <w:rFonts w:hint="eastAsia" w:ascii="Arial" w:hAnsi="Arial" w:cs="Arial"/>
                <w:szCs w:val="21"/>
                <w:highlight w:val="none"/>
                <w:u w:val="single"/>
              </w:rPr>
              <w:t>4</w:t>
            </w:r>
            <w:r>
              <w:rPr>
                <w:rFonts w:hint="eastAsia" w:ascii="Arial" w:hAnsi="Arial" w:cs="Arial"/>
                <w:szCs w:val="21"/>
                <w:highlight w:val="none"/>
                <w:u w:val="single"/>
                <w:lang w:val="en-US" w:eastAsia="zh-CN"/>
              </w:rPr>
              <w:t xml:space="preserve"> </w:t>
            </w:r>
            <w:r>
              <w:rPr>
                <w:rFonts w:hint="eastAsia" w:ascii="Arial" w:hAnsi="Arial" w:cs="Arial"/>
                <w:szCs w:val="21"/>
                <w:highlight w:val="none"/>
              </w:rPr>
              <w:t>小时内到达现场进行处理，到达现场后</w:t>
            </w:r>
            <w:r>
              <w:rPr>
                <w:rFonts w:hint="eastAsia" w:ascii="Arial" w:hAnsi="Arial" w:cs="Arial"/>
                <w:szCs w:val="21"/>
                <w:highlight w:val="none"/>
                <w:u w:val="single"/>
                <w:lang w:val="en-US" w:eastAsia="zh-CN"/>
              </w:rPr>
              <w:t xml:space="preserve"> </w:t>
            </w:r>
            <w:r>
              <w:rPr>
                <w:rFonts w:hint="eastAsia" w:ascii="Arial" w:hAnsi="Arial" w:cs="Arial"/>
                <w:szCs w:val="21"/>
                <w:highlight w:val="none"/>
                <w:u w:val="single"/>
              </w:rPr>
              <w:t>4</w:t>
            </w:r>
            <w:r>
              <w:rPr>
                <w:rFonts w:hint="eastAsia" w:ascii="Arial" w:hAnsi="Arial" w:cs="Arial"/>
                <w:szCs w:val="21"/>
                <w:highlight w:val="none"/>
                <w:u w:val="single"/>
                <w:lang w:val="en-US" w:eastAsia="zh-CN"/>
              </w:rPr>
              <w:t xml:space="preserve"> </w:t>
            </w:r>
            <w:r>
              <w:rPr>
                <w:rFonts w:hint="eastAsia" w:ascii="Arial" w:hAnsi="Arial" w:cs="Arial"/>
                <w:szCs w:val="21"/>
                <w:highlight w:val="none"/>
              </w:rPr>
              <w:t>小时内排除故障，恢复正常使用</w:t>
            </w:r>
            <w:r>
              <w:rPr>
                <w:rFonts w:ascii="宋体" w:hAnsi="宋体" w:cs="宋体"/>
                <w:szCs w:val="21"/>
                <w:highlight w:val="none"/>
              </w:rPr>
              <w:t>。</w:t>
            </w:r>
          </w:p>
          <w:p w14:paraId="51B287EE">
            <w:pPr>
              <w:rPr>
                <w:rFonts w:hint="eastAsia"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成交人须遵守校园出入规定，在供货、安装过程中确保相关人员安全。</w:t>
            </w:r>
            <w:r>
              <w:rPr>
                <w:rFonts w:ascii="宋体" w:hAnsi="宋体" w:cs="宋体"/>
                <w:szCs w:val="21"/>
                <w:highlight w:val="none"/>
              </w:rPr>
              <w:t>供货</w:t>
            </w:r>
            <w:r>
              <w:rPr>
                <w:rFonts w:hint="eastAsia" w:ascii="宋体" w:hAnsi="宋体" w:cs="宋体"/>
                <w:szCs w:val="21"/>
                <w:highlight w:val="none"/>
              </w:rPr>
              <w:t>、</w:t>
            </w:r>
            <w:r>
              <w:rPr>
                <w:rFonts w:ascii="宋体" w:hAnsi="宋体" w:cs="宋体"/>
                <w:szCs w:val="21"/>
                <w:highlight w:val="none"/>
              </w:rPr>
              <w:t>安装过程中产生的残留物或垃圾，</w:t>
            </w:r>
            <w:r>
              <w:rPr>
                <w:rFonts w:hint="eastAsia" w:ascii="宋体" w:hAnsi="宋体" w:cs="宋体"/>
                <w:szCs w:val="21"/>
                <w:highlight w:val="none"/>
              </w:rPr>
              <w:t>成交人需</w:t>
            </w:r>
            <w:r>
              <w:rPr>
                <w:rFonts w:ascii="宋体" w:hAnsi="宋体" w:cs="宋体"/>
                <w:szCs w:val="21"/>
                <w:highlight w:val="none"/>
              </w:rPr>
              <w:t>自行清理至校外。</w:t>
            </w:r>
          </w:p>
        </w:tc>
      </w:tr>
      <w:tr w14:paraId="627C8BD3">
        <w:tblPrEx>
          <w:tblCellMar>
            <w:top w:w="13" w:type="dxa"/>
            <w:left w:w="57" w:type="dxa"/>
            <w:bottom w:w="0" w:type="dxa"/>
            <w:right w:w="57" w:type="dxa"/>
          </w:tblCellMar>
        </w:tblPrEx>
        <w:trPr>
          <w:trHeight w:val="454"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94DE79">
            <w:pPr>
              <w:jc w:val="center"/>
              <w:rPr>
                <w:rFonts w:hint="eastAsia" w:ascii="宋体" w:hAnsi="宋体" w:cs="宋体"/>
                <w:b/>
                <w:bCs/>
                <w:szCs w:val="21"/>
              </w:rPr>
            </w:pPr>
            <w:r>
              <w:rPr>
                <w:rFonts w:hint="eastAsia" w:ascii="宋体" w:hAnsi="宋体" w:cs="宋体"/>
                <w:b/>
                <w:bCs/>
                <w:szCs w:val="21"/>
              </w:rPr>
              <w:t>交付时间、交付地点</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1B8C3B8">
            <w:pPr>
              <w:rPr>
                <w:rFonts w:ascii="宋体" w:hAnsi="宋体" w:cs="宋体"/>
                <w:spacing w:val="-2"/>
                <w:szCs w:val="21"/>
                <w:highlight w:val="none"/>
              </w:rPr>
            </w:pPr>
            <w:r>
              <w:rPr>
                <w:rFonts w:ascii="宋体" w:hAnsi="宋体" w:cs="宋体"/>
                <w:spacing w:val="-2"/>
                <w:szCs w:val="21"/>
                <w:highlight w:val="none"/>
              </w:rPr>
              <w:t>1.交</w:t>
            </w:r>
            <w:r>
              <w:rPr>
                <w:rFonts w:hint="eastAsia" w:ascii="宋体" w:hAnsi="宋体" w:cs="宋体"/>
                <w:spacing w:val="-2"/>
                <w:szCs w:val="21"/>
                <w:highlight w:val="none"/>
              </w:rPr>
              <w:t>付</w:t>
            </w:r>
            <w:r>
              <w:rPr>
                <w:rFonts w:ascii="宋体" w:hAnsi="宋体" w:cs="宋体"/>
                <w:spacing w:val="-2"/>
                <w:szCs w:val="21"/>
                <w:highlight w:val="none"/>
              </w:rPr>
              <w:t>时间：自签订合同之日起</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u w:val="single"/>
                <w:lang w:val="en-US" w:eastAsia="zh-CN"/>
              </w:rPr>
              <w:t xml:space="preserve"> </w:t>
            </w:r>
            <w:r>
              <w:rPr>
                <w:rFonts w:hint="eastAsia" w:ascii="宋体" w:hAnsi="宋体" w:cs="宋体"/>
                <w:spacing w:val="-2"/>
                <w:szCs w:val="21"/>
                <w:highlight w:val="none"/>
                <w:u w:val="single"/>
              </w:rPr>
              <w:t xml:space="preserve">15  </w:t>
            </w:r>
            <w:r>
              <w:rPr>
                <w:rFonts w:hint="eastAsia" w:ascii="宋体" w:hAnsi="宋体" w:cs="宋体"/>
                <w:spacing w:val="-2"/>
                <w:szCs w:val="21"/>
                <w:highlight w:val="none"/>
              </w:rPr>
              <w:t>日内全部交付完成并验收合格。</w:t>
            </w:r>
          </w:p>
          <w:p w14:paraId="5967DC7C">
            <w:pPr>
              <w:rPr>
                <w:rFonts w:hint="eastAsia" w:ascii="宋体" w:hAnsi="宋体" w:cs="宋体"/>
                <w:szCs w:val="21"/>
                <w:highlight w:val="none"/>
              </w:rPr>
            </w:pPr>
            <w:r>
              <w:rPr>
                <w:rFonts w:ascii="宋体" w:hAnsi="宋体" w:cs="宋体"/>
                <w:szCs w:val="21"/>
                <w:highlight w:val="none"/>
              </w:rPr>
              <w:t>2.交</w:t>
            </w:r>
            <w:r>
              <w:rPr>
                <w:rFonts w:hint="eastAsia" w:ascii="宋体" w:hAnsi="宋体" w:cs="宋体"/>
                <w:szCs w:val="21"/>
                <w:highlight w:val="none"/>
              </w:rPr>
              <w:t>付</w:t>
            </w:r>
            <w:r>
              <w:rPr>
                <w:rFonts w:ascii="宋体" w:hAnsi="宋体" w:cs="宋体"/>
                <w:szCs w:val="21"/>
                <w:highlight w:val="none"/>
              </w:rPr>
              <w:t>地点：广西</w:t>
            </w:r>
            <w:r>
              <w:rPr>
                <w:rFonts w:hint="eastAsia" w:ascii="宋体" w:hAnsi="宋体" w:cs="宋体"/>
                <w:szCs w:val="21"/>
                <w:highlight w:val="none"/>
              </w:rPr>
              <w:t>中医药大学</w:t>
            </w:r>
            <w:r>
              <w:rPr>
                <w:rFonts w:ascii="宋体" w:hAnsi="宋体" w:cs="宋体"/>
                <w:szCs w:val="21"/>
                <w:highlight w:val="none"/>
              </w:rPr>
              <w:t>。</w:t>
            </w:r>
          </w:p>
        </w:tc>
      </w:tr>
      <w:tr w14:paraId="5D22DE6F">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B54E56">
            <w:pPr>
              <w:jc w:val="center"/>
              <w:rPr>
                <w:rFonts w:hint="eastAsia" w:ascii="宋体" w:hAnsi="宋体" w:cs="宋体"/>
                <w:b/>
                <w:bCs/>
                <w:szCs w:val="21"/>
              </w:rPr>
            </w:pPr>
            <w:r>
              <w:rPr>
                <w:rFonts w:hint="eastAsia" w:ascii="宋体" w:hAnsi="宋体" w:cs="宋体"/>
                <w:b/>
                <w:bCs/>
                <w:szCs w:val="21"/>
              </w:rPr>
              <w:t>付款条件</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DBDB162">
            <w:pPr>
              <w:rPr>
                <w:rFonts w:ascii="宋体" w:hAnsi="宋体" w:cs="宋体"/>
                <w:szCs w:val="21"/>
                <w:highlight w:val="none"/>
              </w:rPr>
            </w:pPr>
            <w:r>
              <w:rPr>
                <w:rFonts w:hint="eastAsia" w:ascii="Arial" w:hAnsi="Arial" w:cs="Arial"/>
                <w:szCs w:val="21"/>
                <w:highlight w:val="none"/>
              </w:rPr>
              <w:t>1、一次性支付：本合同项下的全部货物经最终验收合格后 15 个工作日内，采购人凭乙方开具的全额发票向乙方支付全部合同价款。若乙方未按时开具发票，甲方有权延迟付款（无息）。甲方按约将货款付至合同约定的银行账户</w:t>
            </w:r>
            <w:r>
              <w:rPr>
                <w:rFonts w:ascii="Arial" w:hAnsi="Arial" w:cs="Arial"/>
                <w:szCs w:val="21"/>
                <w:highlight w:val="none"/>
              </w:rPr>
              <w:t>(</w:t>
            </w:r>
            <w:r>
              <w:rPr>
                <w:rFonts w:hint="eastAsia" w:ascii="Arial" w:hAnsi="Arial" w:cs="Arial"/>
                <w:szCs w:val="21"/>
                <w:highlight w:val="none"/>
              </w:rPr>
              <w:t>该账户的真实性及合法性由乙方负责</w:t>
            </w:r>
            <w:r>
              <w:rPr>
                <w:rFonts w:ascii="Arial" w:hAnsi="Arial" w:cs="Arial"/>
                <w:szCs w:val="21"/>
                <w:highlight w:val="none"/>
              </w:rPr>
              <w:t>)</w:t>
            </w:r>
            <w:r>
              <w:rPr>
                <w:rFonts w:hint="eastAsia" w:ascii="Arial" w:hAnsi="Arial" w:cs="Arial"/>
                <w:szCs w:val="21"/>
                <w:highlight w:val="none"/>
              </w:rPr>
              <w:t>；如因乙方提供的账户信息错误导致无法付款、迟延付款等情形的不视为甲方违约；乙方变更收款银行账户的，应在变更之前书面通知甲方，否则应承担甲方无法付款、迟延付款或付款错误等全部责任。</w:t>
            </w:r>
          </w:p>
          <w:p w14:paraId="2E543793">
            <w:pPr>
              <w:rPr>
                <w:rFonts w:hint="eastAsia" w:ascii="宋体" w:hAnsi="宋体" w:cs="宋体"/>
                <w:szCs w:val="21"/>
                <w:highlight w:val="none"/>
                <w:lang w:eastAsia="en-US"/>
              </w:rPr>
            </w:pPr>
            <w:r>
              <w:rPr>
                <w:rFonts w:hint="eastAsia" w:ascii="宋体" w:hAnsi="宋体" w:cs="宋体"/>
                <w:szCs w:val="21"/>
                <w:highlight w:val="none"/>
                <w:lang w:eastAsia="en-US"/>
              </w:rPr>
              <w:t>2.本项目收取履约保证金：</w:t>
            </w:r>
            <w:r>
              <w:rPr>
                <w:rFonts w:hint="eastAsia" w:ascii="宋体" w:hAnsi="宋体" w:cs="宋体"/>
                <w:szCs w:val="21"/>
                <w:highlight w:val="none"/>
              </w:rPr>
              <w:t>☑</w:t>
            </w:r>
            <w:r>
              <w:rPr>
                <w:rFonts w:hint="eastAsia" w:ascii="宋体" w:hAnsi="宋体" w:cs="宋体"/>
                <w:szCs w:val="21"/>
                <w:highlight w:val="none"/>
                <w:lang w:eastAsia="en-US"/>
              </w:rPr>
              <w:t>无    □有，人民币</w:t>
            </w:r>
            <w:r>
              <w:rPr>
                <w:rFonts w:hint="eastAsia" w:ascii="宋体" w:hAnsi="宋体" w:cs="宋体"/>
                <w:szCs w:val="21"/>
                <w:highlight w:val="none"/>
                <w:u w:val="single"/>
                <w:lang w:eastAsia="en-US"/>
              </w:rPr>
              <w:t xml:space="preserve">        </w:t>
            </w:r>
            <w:r>
              <w:rPr>
                <w:rFonts w:hint="eastAsia" w:ascii="宋体" w:hAnsi="宋体" w:cs="宋体"/>
                <w:szCs w:val="21"/>
                <w:highlight w:val="none"/>
                <w:lang w:eastAsia="en-US"/>
              </w:rPr>
              <w:t>元。</w:t>
            </w:r>
          </w:p>
          <w:p w14:paraId="4DF82F24">
            <w:pPr>
              <w:jc w:val="left"/>
              <w:rPr>
                <w:rFonts w:hint="eastAsia" w:ascii="宋体" w:hAnsi="宋体" w:cs="宋体"/>
                <w:szCs w:val="21"/>
                <w:highlight w:val="none"/>
              </w:rPr>
            </w:pPr>
            <w:r>
              <w:rPr>
                <w:rFonts w:hint="eastAsia" w:ascii="宋体" w:hAnsi="宋体" w:cs="宋体"/>
                <w:bCs/>
                <w:szCs w:val="21"/>
                <w:highlight w:val="none"/>
              </w:rPr>
              <w:t>3</w:t>
            </w:r>
            <w:r>
              <w:rPr>
                <w:rFonts w:ascii="宋体" w:hAnsi="宋体" w:cs="宋体"/>
                <w:bCs/>
                <w:szCs w:val="21"/>
                <w:highlight w:val="none"/>
              </w:rPr>
              <w:t>.</w:t>
            </w:r>
            <w:r>
              <w:rPr>
                <w:rFonts w:hint="eastAsia" w:ascii="宋体" w:hAnsi="宋体" w:cs="宋体"/>
                <w:bCs/>
                <w:szCs w:val="21"/>
                <w:highlight w:val="none"/>
              </w:rPr>
              <w:t>项目收取履约保证金的，成交人须在合同签订前向采购人账户转付成交金额</w:t>
            </w:r>
            <w:r>
              <w:rPr>
                <w:rFonts w:ascii="宋体" w:hAnsi="宋体" w:cs="宋体"/>
                <w:bCs/>
                <w:szCs w:val="21"/>
                <w:highlight w:val="none"/>
              </w:rPr>
              <w:t>2%的履约保证金，否则不予签订合同</w:t>
            </w:r>
            <w:r>
              <w:rPr>
                <w:rFonts w:hint="eastAsia" w:ascii="宋体" w:hAnsi="宋体" w:cs="宋体"/>
                <w:bCs/>
                <w:szCs w:val="21"/>
                <w:highlight w:val="none"/>
              </w:rPr>
              <w:t>。</w:t>
            </w:r>
            <w:r>
              <w:rPr>
                <w:rFonts w:ascii="宋体" w:hAnsi="宋体" w:cs="宋体"/>
                <w:bCs/>
                <w:szCs w:val="21"/>
                <w:highlight w:val="none"/>
              </w:rPr>
              <w:t>履约保证金在</w:t>
            </w:r>
            <w:r>
              <w:rPr>
                <w:rFonts w:hint="eastAsia" w:ascii="宋体" w:hAnsi="宋体" w:cs="宋体"/>
                <w:bCs/>
                <w:szCs w:val="21"/>
                <w:highlight w:val="none"/>
              </w:rPr>
              <w:t>采购内容全部交付</w:t>
            </w:r>
            <w:r>
              <w:rPr>
                <w:rFonts w:ascii="宋体" w:hAnsi="宋体" w:cs="宋体"/>
                <w:bCs/>
                <w:szCs w:val="21"/>
                <w:highlight w:val="none"/>
              </w:rPr>
              <w:t>验收</w:t>
            </w:r>
            <w:r>
              <w:rPr>
                <w:rFonts w:hint="eastAsia" w:ascii="宋体" w:hAnsi="宋体" w:cs="宋体"/>
                <w:bCs/>
                <w:szCs w:val="21"/>
                <w:highlight w:val="none"/>
              </w:rPr>
              <w:t>完成</w:t>
            </w:r>
            <w:r>
              <w:rPr>
                <w:rFonts w:ascii="宋体" w:hAnsi="宋体" w:cs="宋体"/>
                <w:bCs/>
                <w:szCs w:val="21"/>
                <w:highlight w:val="none"/>
              </w:rPr>
              <w:t>之后</w:t>
            </w:r>
            <w:r>
              <w:rPr>
                <w:rFonts w:hint="eastAsia" w:ascii="宋体" w:hAnsi="宋体" w:cs="宋体"/>
                <w:bCs/>
                <w:szCs w:val="21"/>
                <w:highlight w:val="none"/>
              </w:rPr>
              <w:t>（或服务期满后）</w:t>
            </w:r>
            <w:r>
              <w:rPr>
                <w:rFonts w:ascii="宋体" w:hAnsi="宋体" w:cs="宋体"/>
                <w:bCs/>
                <w:szCs w:val="21"/>
                <w:highlight w:val="none"/>
              </w:rPr>
              <w:t>无息退付。</w:t>
            </w:r>
          </w:p>
        </w:tc>
      </w:tr>
      <w:tr w14:paraId="4D2ACEFC">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CD257E">
            <w:pPr>
              <w:jc w:val="center"/>
              <w:rPr>
                <w:rFonts w:hint="eastAsia" w:ascii="宋体" w:hAnsi="宋体" w:cs="宋体"/>
                <w:b/>
                <w:bCs/>
                <w:szCs w:val="21"/>
              </w:rPr>
            </w:pPr>
            <w:r>
              <w:rPr>
                <w:rFonts w:hint="eastAsia" w:ascii="宋体" w:hAnsi="宋体" w:cs="宋体"/>
                <w:b/>
                <w:bCs/>
                <w:szCs w:val="21"/>
              </w:rPr>
              <w:t>报价要求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A66BB2">
            <w:pPr>
              <w:numPr>
                <w:ilvl w:val="0"/>
                <w:numId w:val="3"/>
              </w:numPr>
              <w:rPr>
                <w:rFonts w:ascii="宋体" w:hAnsi="宋体" w:cs="仿宋"/>
                <w:b/>
                <w:color w:val="000000"/>
                <w:szCs w:val="21"/>
              </w:rPr>
            </w:pPr>
            <w:r>
              <w:rPr>
                <w:rFonts w:hint="eastAsia" w:ascii="宋体" w:hAnsi="宋体" w:cs="仿宋"/>
                <w:b/>
                <w:color w:val="000000"/>
                <w:szCs w:val="21"/>
              </w:rPr>
              <w:t>所有价格均用人民币表示，单位为元，精确到小数点后两位；高于预算金额的报价无效。</w:t>
            </w:r>
          </w:p>
          <w:p w14:paraId="2C6CED24">
            <w:pPr>
              <w:numPr>
                <w:ilvl w:val="0"/>
                <w:numId w:val="3"/>
              </w:numPr>
              <w:rPr>
                <w:rFonts w:ascii="宋体" w:hAnsi="宋体" w:cs="宋体"/>
                <w:b/>
                <w:szCs w:val="21"/>
              </w:rPr>
            </w:pPr>
            <w:r>
              <w:rPr>
                <w:rFonts w:hint="eastAsia" w:ascii="宋体" w:hAnsi="宋体" w:cs="宋体"/>
                <w:b/>
                <w:bCs/>
                <w:szCs w:val="21"/>
              </w:rPr>
              <w:t>报价一经涂改，应在涂改处加盖单位公章，否则其投标作无效标处理。</w:t>
            </w:r>
          </w:p>
          <w:p w14:paraId="74CAAB7E">
            <w:pPr>
              <w:numPr>
                <w:ilvl w:val="0"/>
                <w:numId w:val="3"/>
              </w:numPr>
              <w:rPr>
                <w:rFonts w:hint="eastAsia" w:ascii="宋体" w:hAnsi="宋体" w:cs="宋体"/>
                <w:bCs/>
                <w:szCs w:val="21"/>
              </w:rPr>
            </w:pPr>
            <w:r>
              <w:rPr>
                <w:rFonts w:hint="eastAsia" w:ascii="宋体" w:hAnsi="宋体" w:cs="仿宋"/>
                <w:b/>
                <w:color w:val="000000"/>
                <w:szCs w:val="21"/>
              </w:rPr>
              <w:t>报价包括项目采购标的及实施所需的材料费、设备费、人工费、服务费、运输费、安装调试费、税费、质保期内维护费（含维修、养护、软件升级等）、必要的保险或检测费用等其他一切费用</w:t>
            </w:r>
          </w:p>
        </w:tc>
      </w:tr>
      <w:tr w14:paraId="12F8A2B6">
        <w:tblPrEx>
          <w:tblCellMar>
            <w:top w:w="13" w:type="dxa"/>
            <w:left w:w="57" w:type="dxa"/>
            <w:bottom w:w="0" w:type="dxa"/>
            <w:right w:w="57" w:type="dxa"/>
          </w:tblCellMar>
        </w:tblPrEx>
        <w:trPr>
          <w:trHeight w:val="20"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49B0E1">
            <w:pPr>
              <w:rPr>
                <w:rFonts w:ascii="宋体" w:hAnsi="宋体" w:cs="仿宋"/>
                <w:b/>
                <w:color w:val="000000"/>
                <w:szCs w:val="21"/>
              </w:rPr>
            </w:pPr>
            <w:r>
              <w:rPr>
                <w:rFonts w:hint="eastAsia" w:ascii="宋体" w:hAnsi="宋体"/>
                <w:b/>
                <w:szCs w:val="21"/>
              </w:rPr>
              <w:t>▲</w:t>
            </w:r>
            <w:r>
              <w:rPr>
                <w:rFonts w:hint="eastAsia" w:ascii="宋体" w:hAnsi="宋体" w:cs="宋体"/>
                <w:b/>
                <w:bCs/>
                <w:szCs w:val="21"/>
              </w:rPr>
              <w:t>三、其他需求</w:t>
            </w:r>
          </w:p>
        </w:tc>
      </w:tr>
      <w:tr w14:paraId="3ADEAE88">
        <w:tblPrEx>
          <w:tblCellMar>
            <w:top w:w="13" w:type="dxa"/>
            <w:left w:w="57" w:type="dxa"/>
            <w:bottom w:w="0" w:type="dxa"/>
            <w:right w:w="57" w:type="dxa"/>
          </w:tblCellMar>
        </w:tblPrEx>
        <w:trPr>
          <w:trHeight w:val="20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32CEC4">
            <w:pPr>
              <w:rPr>
                <w:rFonts w:ascii="宋体" w:hAnsi="宋体" w:cs="宋体"/>
                <w:b/>
                <w:bCs/>
                <w:szCs w:val="21"/>
              </w:rPr>
            </w:pPr>
            <w:r>
              <w:rPr>
                <w:rFonts w:hint="eastAsia" w:ascii="宋体" w:hAnsi="宋体" w:cs="宋体"/>
                <w:b/>
                <w:bCs/>
                <w:szCs w:val="21"/>
              </w:rPr>
              <w:t>其它要求</w:t>
            </w:r>
          </w:p>
        </w:tc>
        <w:tc>
          <w:tcPr>
            <w:tcW w:w="7093"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ACBB59">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14:paraId="328B3204">
            <w:pPr>
              <w:rPr>
                <w:rFonts w:hint="eastAsia" w:ascii="宋体" w:hAnsi="宋体" w:cs="宋体"/>
                <w:szCs w:val="21"/>
              </w:rPr>
            </w:pPr>
            <w:r>
              <w:rPr>
                <w:rFonts w:hint="eastAsia" w:ascii="宋体" w:hAnsi="宋体" w:cs="宋体"/>
                <w:szCs w:val="21"/>
              </w:rPr>
              <w:t>2、成交供应商在收到成交结果通知之日起5个工作日内必须向采购人提供询价货物的以下纸质资料：</w:t>
            </w:r>
          </w:p>
          <w:p w14:paraId="43959B9C">
            <w:pPr>
              <w:rPr>
                <w:rFonts w:hint="eastAsia" w:ascii="宋体" w:hAnsi="宋体" w:cs="宋体"/>
                <w:szCs w:val="21"/>
              </w:rPr>
            </w:pPr>
            <w:r>
              <w:rPr>
                <w:rFonts w:hint="eastAsia" w:ascii="宋体" w:hAnsi="宋体" w:cs="宋体"/>
                <w:szCs w:val="21"/>
              </w:rPr>
              <w:t>（1）提供厂家针对该项目的授权书，并加盖厂家公章。</w:t>
            </w:r>
          </w:p>
          <w:p w14:paraId="0C1BA836">
            <w:pPr>
              <w:rPr>
                <w:rFonts w:hint="eastAsia" w:ascii="宋体" w:hAnsi="宋体" w:cs="宋体"/>
                <w:b/>
                <w:bCs/>
                <w:szCs w:val="21"/>
              </w:rPr>
            </w:pPr>
            <w:r>
              <w:rPr>
                <w:rFonts w:hint="eastAsia" w:ascii="宋体" w:hAnsi="宋体" w:cs="宋体"/>
                <w:szCs w:val="21"/>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14:paraId="30806F44"/>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lvl>
  </w:abstractNum>
  <w:abstractNum w:abstractNumId="2">
    <w:nsid w:val="78F06FAE"/>
    <w:multiLevelType w:val="multilevel"/>
    <w:tmpl w:val="78F06FAE"/>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0A76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link w:val="1"/>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jc w:val="left"/>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paragraph" w:styleId="5">
    <w:name w:val="toc 1"/>
    <w:basedOn w:val="1"/>
    <w:next w:val="1"/>
    <w:unhideWhenUsed/>
    <w:qFormat/>
    <w:uiPriority w:val="39"/>
  </w:style>
  <w:style w:type="character" w:customStyle="1" w:styleId="8">
    <w:name w:val="页眉 字符"/>
    <w:link w:val="4"/>
    <w:qFormat/>
    <w:uiPriority w:val="0"/>
    <w:rPr>
      <w:kern w:val="2"/>
      <w:sz w:val="18"/>
      <w:szCs w:val="18"/>
    </w:rPr>
  </w:style>
  <w:style w:type="paragraph" w:customStyle="1" w:styleId="9">
    <w:name w:val="列表段落"/>
    <w:basedOn w:val="1"/>
    <w:qFormat/>
    <w:uiPriority w:val="0"/>
    <w:pPr>
      <w:ind w:firstLine="420" w:firstLineChars="200"/>
    </w:pPr>
    <w:rPr>
      <w:rFonts w:ascii="Times New Roman" w:hAnsi="Times New Roman" w:eastAsia="宋体" w:cs="Times New Roman"/>
      <w:szCs w:val="21"/>
    </w:rPr>
  </w:style>
  <w:style w:type="character" w:customStyle="1" w:styleId="10">
    <w:name w:val="font31"/>
    <w:link w:val="1"/>
    <w:qFormat/>
    <w:uiPriority w:val="0"/>
    <w:rPr>
      <w:rFonts w:hint="eastAsia" w:ascii="宋体" w:hAnsi="宋体" w:eastAsia="宋体" w:cs="宋体"/>
      <w:b/>
      <w:bCs/>
      <w:color w:val="000000"/>
      <w:sz w:val="20"/>
      <w:szCs w:val="20"/>
      <w:u w:val="none"/>
    </w:rPr>
  </w:style>
  <w:style w:type="character" w:customStyle="1" w:styleId="11">
    <w:name w:val="页脚 字符"/>
    <w:link w:val="3"/>
    <w:qFormat/>
    <w:uiPriority w:val="0"/>
    <w:rPr>
      <w:kern w:val="2"/>
      <w:sz w:val="18"/>
      <w:szCs w:val="18"/>
    </w:rPr>
  </w:style>
  <w:style w:type="character" w:customStyle="1" w:styleId="12">
    <w:name w:val="font21"/>
    <w:link w:val="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10175</Words>
  <Characters>10975</Characters>
  <TotalTime>3</TotalTime>
  <ScaleCrop>false</ScaleCrop>
  <LinksUpToDate>false</LinksUpToDate>
  <CharactersWithSpaces>11180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2025-09-09T10:37:00Z</dcterms:created>
  <dc:creator>lenovo</dc:creator>
  <cp:lastModifiedBy>Silver</cp:lastModifiedBy>
  <cp:lastPrinted>2025-09-09T02:39:34Z</cp:lastPrinted>
  <dcterms:modified xsi:type="dcterms:W3CDTF">2025-09-09T02:42:10Z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eyJoZGlkIjoiZjQ5YWFkMmQzNDg1Y2RlM2IwMGM3ZTliZTBhZmE4NmEiLCJ1c2VySWQiOiIyNDE1NTg5MDMifQ==</vt:lpwstr>
  </property>
  <property fmtid="{D5CDD505-2E9C-101B-9397-08002B2CF9AE}" pid="3" name="KSOProductBuildVer">
    <vt:lpwstr>2052-12.1.0.22529</vt:lpwstr>
  </property>
  <property fmtid="{D5CDD505-2E9C-101B-9397-08002B2CF9AE}" pid="4" name="ICV">
    <vt:lpwstr>B7B821F98E2D49D09528D83A81DF111D_12</vt:lpwstr>
  </property>
</Properties>
</file>