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AEE" w:rsidRDefault="002C41D1">
      <w:pPr>
        <w:widowControl/>
        <w:spacing w:line="440" w:lineRule="exact"/>
        <w:jc w:val="left"/>
        <w:rPr>
          <w:rFonts w:ascii="方正仿宋_GB2312" w:eastAsia="方正仿宋_GB2312" w:hAnsi="方正仿宋_GB2312" w:cs="方正仿宋_GB2312"/>
          <w:b/>
          <w:bCs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>附件1</w:t>
      </w:r>
    </w:p>
    <w:p w:rsidR="00E85AEE" w:rsidRDefault="002C41D1">
      <w:pPr>
        <w:widowControl/>
        <w:spacing w:line="460" w:lineRule="exact"/>
        <w:jc w:val="center"/>
        <w:rPr>
          <w:rFonts w:ascii="方正仿宋_GB2312" w:eastAsia="方正仿宋_GB2312" w:hAnsi="方正仿宋_GB2312" w:cs="方正仿宋_GB2312"/>
          <w:b/>
          <w:bCs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>需求征集明细表</w:t>
      </w:r>
    </w:p>
    <w:tbl>
      <w:tblPr>
        <w:tblW w:w="5377" w:type="pct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50"/>
        <w:gridCol w:w="496"/>
        <w:gridCol w:w="672"/>
        <w:gridCol w:w="1320"/>
        <w:gridCol w:w="2707"/>
        <w:gridCol w:w="759"/>
        <w:gridCol w:w="567"/>
        <w:gridCol w:w="810"/>
        <w:gridCol w:w="1174"/>
      </w:tblGrid>
      <w:tr w:rsidR="00E85AEE" w:rsidTr="00F37BC1">
        <w:trPr>
          <w:trHeight w:val="454"/>
        </w:trPr>
        <w:tc>
          <w:tcPr>
            <w:tcW w:w="5000" w:type="pct"/>
            <w:gridSpan w:val="9"/>
            <w:noWrap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:rsidR="00E85AEE" w:rsidRDefault="002C41D1">
            <w:pPr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  <w:t>一、技术要求</w:t>
            </w:r>
          </w:p>
        </w:tc>
      </w:tr>
      <w:tr w:rsidR="00E85AEE" w:rsidTr="00F37BC1">
        <w:trPr>
          <w:trHeight w:val="2253"/>
        </w:trPr>
        <w:tc>
          <w:tcPr>
            <w:tcW w:w="304" w:type="pct"/>
            <w:noWrap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:rsidR="00E85AEE" w:rsidRDefault="002C41D1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645" w:type="pct"/>
            <w:gridSpan w:val="2"/>
            <w:noWrap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:rsidR="00E85AEE" w:rsidRDefault="002C41D1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采购内容</w:t>
            </w:r>
          </w:p>
        </w:tc>
        <w:tc>
          <w:tcPr>
            <w:tcW w:w="729" w:type="pct"/>
            <w:noWrap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:rsidR="00E85AEE" w:rsidRDefault="002C41D1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  <w:t>项目总投资</w:t>
            </w:r>
          </w:p>
          <w:p w:rsidR="00E85AEE" w:rsidRDefault="002C41D1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  <w:t>（元）</w:t>
            </w:r>
          </w:p>
        </w:tc>
        <w:tc>
          <w:tcPr>
            <w:tcW w:w="1495" w:type="pct"/>
            <w:noWrap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:rsidR="00E85AEE" w:rsidRDefault="002C41D1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  <w:t>技术参数</w:t>
            </w:r>
          </w:p>
        </w:tc>
        <w:tc>
          <w:tcPr>
            <w:tcW w:w="419" w:type="pct"/>
            <w:noWrap/>
            <w:vAlign w:val="center"/>
          </w:tcPr>
          <w:p w:rsidR="00E85AEE" w:rsidRDefault="002C41D1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  <w:t>计量</w:t>
            </w:r>
          </w:p>
          <w:p w:rsidR="00E85AEE" w:rsidRDefault="002C41D1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  <w:t>单位</w:t>
            </w:r>
          </w:p>
        </w:tc>
        <w:tc>
          <w:tcPr>
            <w:tcW w:w="313" w:type="pct"/>
            <w:noWrap/>
            <w:vAlign w:val="center"/>
          </w:tcPr>
          <w:p w:rsidR="00E85AEE" w:rsidRDefault="002C41D1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  <w:t>数量</w:t>
            </w:r>
          </w:p>
        </w:tc>
        <w:tc>
          <w:tcPr>
            <w:tcW w:w="447" w:type="pct"/>
            <w:noWrap/>
            <w:vAlign w:val="center"/>
          </w:tcPr>
          <w:p w:rsidR="00E85AEE" w:rsidRDefault="002C41D1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  <w:t>单价</w:t>
            </w:r>
          </w:p>
          <w:p w:rsidR="00E85AEE" w:rsidRDefault="002C41D1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  <w:t>（元）</w:t>
            </w:r>
          </w:p>
        </w:tc>
        <w:tc>
          <w:tcPr>
            <w:tcW w:w="648" w:type="pct"/>
            <w:noWrap/>
            <w:vAlign w:val="center"/>
          </w:tcPr>
          <w:p w:rsidR="00E85AEE" w:rsidRDefault="002C41D1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  <w:t>小计</w:t>
            </w:r>
          </w:p>
          <w:p w:rsidR="00E85AEE" w:rsidRDefault="002C41D1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  <w:t>（元）</w:t>
            </w:r>
          </w:p>
        </w:tc>
      </w:tr>
      <w:tr w:rsidR="00E85AEE" w:rsidTr="00F37BC1">
        <w:trPr>
          <w:trHeight w:val="390"/>
        </w:trPr>
        <w:tc>
          <w:tcPr>
            <w:tcW w:w="304" w:type="pct"/>
            <w:noWrap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:rsidR="00E85AEE" w:rsidRDefault="002C41D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bookmarkStart w:id="0" w:name="OLE_LINK6" w:colFirst="1" w:colLast="5"/>
            <w:bookmarkStart w:id="1" w:name="_Hlk199951007"/>
            <w:bookmarkStart w:id="2" w:name="OLE_LINK5" w:colFirst="1" w:colLast="5"/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645" w:type="pct"/>
            <w:gridSpan w:val="2"/>
            <w:noWrap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:rsidR="00E85AEE" w:rsidRDefault="00016C0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016C05">
              <w:rPr>
                <w:rFonts w:ascii="仿宋_GB2312" w:eastAsia="仿宋_GB2312" w:hAnsi="仿宋_GB2312" w:cs="仿宋_GB2312" w:hint="eastAsia"/>
                <w:sz w:val="24"/>
              </w:rPr>
              <w:t>2026年计量器具校准</w:t>
            </w:r>
          </w:p>
        </w:tc>
        <w:tc>
          <w:tcPr>
            <w:tcW w:w="729" w:type="pct"/>
            <w:noWrap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:rsidR="00E85AEE" w:rsidRPr="00016C05" w:rsidRDefault="00E85AEE">
            <w:pPr>
              <w:jc w:val="center"/>
              <w:rPr>
                <w:rFonts w:ascii="仿宋_GB2312" w:eastAsia="仿宋_GB2312" w:hAnsi="仿宋_GB2312" w:cs="仿宋_GB2312"/>
                <w:color w:val="FF0000"/>
                <w:sz w:val="24"/>
              </w:rPr>
            </w:pPr>
          </w:p>
        </w:tc>
        <w:tc>
          <w:tcPr>
            <w:tcW w:w="1495" w:type="pct"/>
            <w:noWrap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:rsidR="00016C05" w:rsidRPr="00016C05" w:rsidRDefault="00016C05" w:rsidP="00016C05">
            <w:pPr>
              <w:rPr>
                <w:rFonts w:ascii="仿宋_GB2312" w:eastAsia="仿宋_GB2312" w:hAnsi="仿宋_GB2312" w:cs="仿宋_GB2312"/>
                <w:sz w:val="24"/>
              </w:rPr>
            </w:pPr>
            <w:r w:rsidRPr="00016C05">
              <w:rPr>
                <w:rFonts w:ascii="仿宋_GB2312" w:eastAsia="仿宋_GB2312" w:hAnsi="仿宋_GB2312" w:cs="仿宋_GB2312" w:hint="eastAsia"/>
                <w:sz w:val="24"/>
              </w:rPr>
              <w:t>1.校准范围：覆盖本单位所有在用计量器具（以本公司实际目录为准），包括但不限于</w:t>
            </w:r>
          </w:p>
          <w:p w:rsidR="00016C05" w:rsidRPr="00016C05" w:rsidRDefault="00016C05" w:rsidP="00016C05">
            <w:pPr>
              <w:rPr>
                <w:rFonts w:ascii="仿宋_GB2312" w:eastAsia="仿宋_GB2312" w:hAnsi="仿宋_GB2312" w:cs="仿宋_GB2312"/>
                <w:sz w:val="24"/>
              </w:rPr>
            </w:pPr>
            <w:r w:rsidRPr="00016C05">
              <w:rPr>
                <w:rFonts w:ascii="仿宋_GB2312" w:eastAsia="仿宋_GB2312" w:hAnsi="仿宋_GB2312" w:cs="仿宋_GB2312" w:hint="eastAsia"/>
                <w:sz w:val="24"/>
              </w:rPr>
              <w:t>（1）衡器类：电子天平、电子秤、台秤等。</w:t>
            </w:r>
          </w:p>
          <w:p w:rsidR="00016C05" w:rsidRPr="00016C05" w:rsidRDefault="00016C05" w:rsidP="00016C05">
            <w:pPr>
              <w:rPr>
                <w:rFonts w:ascii="仿宋_GB2312" w:eastAsia="仿宋_GB2312" w:hAnsi="仿宋_GB2312" w:cs="仿宋_GB2312"/>
                <w:sz w:val="24"/>
              </w:rPr>
            </w:pPr>
            <w:r w:rsidRPr="00016C05">
              <w:rPr>
                <w:rFonts w:ascii="仿宋_GB2312" w:eastAsia="仿宋_GB2312" w:hAnsi="仿宋_GB2312" w:cs="仿宋_GB2312" w:hint="eastAsia"/>
                <w:sz w:val="24"/>
              </w:rPr>
              <w:t>（2）温度类：温湿度计、干燥箱、培养箱等。</w:t>
            </w:r>
          </w:p>
          <w:p w:rsidR="00016C05" w:rsidRPr="00016C05" w:rsidRDefault="00016C05" w:rsidP="00016C05">
            <w:pPr>
              <w:rPr>
                <w:rFonts w:ascii="仿宋_GB2312" w:eastAsia="仿宋_GB2312" w:hAnsi="仿宋_GB2312" w:cs="仿宋_GB2312"/>
                <w:sz w:val="24"/>
              </w:rPr>
            </w:pPr>
            <w:r w:rsidRPr="00016C05">
              <w:rPr>
                <w:rFonts w:ascii="仿宋_GB2312" w:eastAsia="仿宋_GB2312" w:hAnsi="仿宋_GB2312" w:cs="仿宋_GB2312" w:hint="eastAsia"/>
                <w:sz w:val="24"/>
              </w:rPr>
              <w:t>（3）理化类：pH计、电导率仪、容量器具等。</w:t>
            </w:r>
          </w:p>
          <w:p w:rsidR="00016C05" w:rsidRPr="00016C05" w:rsidRDefault="00016C05" w:rsidP="00016C05">
            <w:pPr>
              <w:rPr>
                <w:rFonts w:ascii="仿宋_GB2312" w:eastAsia="仿宋_GB2312" w:hAnsi="仿宋_GB2312" w:cs="仿宋_GB2312"/>
                <w:sz w:val="24"/>
              </w:rPr>
            </w:pPr>
            <w:r w:rsidRPr="00016C05">
              <w:rPr>
                <w:rFonts w:ascii="仿宋_GB2312" w:eastAsia="仿宋_GB2312" w:hAnsi="仿宋_GB2312" w:cs="仿宋_GB2312" w:hint="eastAsia"/>
                <w:sz w:val="24"/>
              </w:rPr>
              <w:t>（4）其他：生产和检验用需校准设备。</w:t>
            </w:r>
          </w:p>
          <w:p w:rsidR="00016C05" w:rsidRPr="00016C05" w:rsidRDefault="00016C05" w:rsidP="00016C05">
            <w:pPr>
              <w:rPr>
                <w:rFonts w:ascii="仿宋_GB2312" w:eastAsia="仿宋_GB2312" w:hAnsi="仿宋_GB2312" w:cs="仿宋_GB2312"/>
                <w:sz w:val="24"/>
              </w:rPr>
            </w:pPr>
            <w:r w:rsidRPr="00016C05">
              <w:rPr>
                <w:rFonts w:ascii="仿宋_GB2312" w:eastAsia="仿宋_GB2312" w:hAnsi="仿宋_GB2312" w:cs="仿宋_GB2312" w:hint="eastAsia"/>
                <w:sz w:val="24"/>
              </w:rPr>
              <w:t>2.服务要求：</w:t>
            </w:r>
          </w:p>
          <w:p w:rsidR="00016C05" w:rsidRPr="00016C05" w:rsidRDefault="00016C05" w:rsidP="00016C05">
            <w:pPr>
              <w:rPr>
                <w:rFonts w:ascii="仿宋_GB2312" w:eastAsia="仿宋_GB2312" w:hAnsi="仿宋_GB2312" w:cs="仿宋_GB2312"/>
                <w:sz w:val="24"/>
              </w:rPr>
            </w:pPr>
            <w:r w:rsidRPr="00016C05">
              <w:rPr>
                <w:rFonts w:ascii="仿宋_GB2312" w:eastAsia="仿宋_GB2312" w:hAnsi="仿宋_GB2312" w:cs="仿宋_GB2312" w:hint="eastAsia"/>
                <w:sz w:val="24"/>
              </w:rPr>
              <w:t>（1）服务单位是符合国家校准能力认证的机构，有能力严格依据国家校准规范开展工作。</w:t>
            </w:r>
          </w:p>
          <w:p w:rsidR="00016C05" w:rsidRPr="00016C05" w:rsidRDefault="00016C05" w:rsidP="00016C05">
            <w:pPr>
              <w:rPr>
                <w:rFonts w:ascii="仿宋_GB2312" w:eastAsia="仿宋_GB2312" w:hAnsi="仿宋_GB2312" w:cs="仿宋_GB2312"/>
                <w:sz w:val="24"/>
              </w:rPr>
            </w:pPr>
            <w:r w:rsidRPr="00016C05">
              <w:rPr>
                <w:rFonts w:ascii="仿宋_GB2312" w:eastAsia="仿宋_GB2312" w:hAnsi="仿宋_GB2312" w:cs="仿宋_GB2312" w:hint="eastAsia"/>
                <w:sz w:val="24"/>
              </w:rPr>
              <w:t>（2）提供上门校准服务，不影响正常生产工作秩序。</w:t>
            </w:r>
          </w:p>
          <w:p w:rsidR="00016C05" w:rsidRPr="00016C05" w:rsidRDefault="00016C05" w:rsidP="00016C05">
            <w:pPr>
              <w:rPr>
                <w:rFonts w:ascii="仿宋_GB2312" w:eastAsia="仿宋_GB2312" w:hAnsi="仿宋_GB2312" w:cs="仿宋_GB2312"/>
                <w:sz w:val="24"/>
              </w:rPr>
            </w:pPr>
            <w:r w:rsidRPr="00016C05">
              <w:rPr>
                <w:rFonts w:ascii="仿宋_GB2312" w:eastAsia="仿宋_GB2312" w:hAnsi="仿宋_GB2312" w:cs="仿宋_GB2312" w:hint="eastAsia"/>
                <w:sz w:val="24"/>
              </w:rPr>
              <w:t>（3）出具带CNAS标识合法有效的校准证书，数据完整可追溯，可用于合规检查。</w:t>
            </w:r>
          </w:p>
          <w:p w:rsidR="00016C05" w:rsidRPr="00016C05" w:rsidRDefault="00016C05" w:rsidP="00016C05">
            <w:pPr>
              <w:rPr>
                <w:rFonts w:ascii="仿宋_GB2312" w:eastAsia="仿宋_GB2312" w:hAnsi="仿宋_GB2312" w:cs="仿宋_GB2312"/>
                <w:sz w:val="24"/>
              </w:rPr>
            </w:pPr>
            <w:r w:rsidRPr="00016C05">
              <w:rPr>
                <w:rFonts w:ascii="仿宋_GB2312" w:eastAsia="仿宋_GB2312" w:hAnsi="仿宋_GB2312" w:cs="仿宋_GB2312" w:hint="eastAsia"/>
                <w:sz w:val="24"/>
              </w:rPr>
              <w:t>（4）完成计量标识粘贴，不合格器具告知与建议。</w:t>
            </w:r>
          </w:p>
          <w:p w:rsidR="00016C05" w:rsidRPr="00016C05" w:rsidRDefault="00016C05" w:rsidP="00016C05">
            <w:pPr>
              <w:rPr>
                <w:rFonts w:ascii="仿宋_GB2312" w:eastAsia="仿宋_GB2312" w:hAnsi="仿宋_GB2312" w:cs="仿宋_GB2312"/>
                <w:sz w:val="24"/>
              </w:rPr>
            </w:pPr>
            <w:r w:rsidRPr="00016C05">
              <w:rPr>
                <w:rFonts w:ascii="仿宋_GB2312" w:eastAsia="仿宋_GB2312" w:hAnsi="仿宋_GB2312" w:cs="仿宋_GB2312" w:hint="eastAsia"/>
                <w:sz w:val="24"/>
              </w:rPr>
              <w:t>（5）响应及时，紧急校准48小时内到场，常规校准按约定周期完成。</w:t>
            </w:r>
          </w:p>
          <w:p w:rsidR="00E85AEE" w:rsidRDefault="00016C05" w:rsidP="00016C0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016C05">
              <w:rPr>
                <w:rFonts w:ascii="仿宋_GB2312" w:eastAsia="仿宋_GB2312" w:hAnsi="仿宋_GB2312" w:cs="仿宋_GB2312" w:hint="eastAsia"/>
                <w:sz w:val="24"/>
              </w:rPr>
              <w:t>（6）其他相应的服务。</w:t>
            </w:r>
          </w:p>
        </w:tc>
        <w:tc>
          <w:tcPr>
            <w:tcW w:w="419" w:type="pct"/>
            <w:noWrap/>
            <w:vAlign w:val="center"/>
          </w:tcPr>
          <w:p w:rsidR="00E85AEE" w:rsidRDefault="002C41D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项</w:t>
            </w:r>
          </w:p>
        </w:tc>
        <w:tc>
          <w:tcPr>
            <w:tcW w:w="313" w:type="pct"/>
            <w:noWrap/>
            <w:vAlign w:val="center"/>
          </w:tcPr>
          <w:p w:rsidR="00E85AEE" w:rsidRDefault="002C41D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</w:t>
            </w:r>
          </w:p>
        </w:tc>
        <w:tc>
          <w:tcPr>
            <w:tcW w:w="447" w:type="pct"/>
            <w:noWrap/>
            <w:vAlign w:val="center"/>
          </w:tcPr>
          <w:p w:rsidR="00E85AEE" w:rsidRDefault="00E85A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zh-CN"/>
              </w:rPr>
            </w:pPr>
          </w:p>
        </w:tc>
        <w:tc>
          <w:tcPr>
            <w:tcW w:w="648" w:type="pct"/>
            <w:noWrap/>
            <w:vAlign w:val="center"/>
          </w:tcPr>
          <w:p w:rsidR="00E85AEE" w:rsidRDefault="00E85A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zh-CN"/>
              </w:rPr>
            </w:pPr>
          </w:p>
        </w:tc>
      </w:tr>
      <w:bookmarkEnd w:id="0"/>
      <w:bookmarkEnd w:id="1"/>
      <w:bookmarkEnd w:id="2"/>
      <w:tr w:rsidR="00E85AEE" w:rsidTr="00F37BC1">
        <w:trPr>
          <w:trHeight w:val="454"/>
        </w:trPr>
        <w:tc>
          <w:tcPr>
            <w:tcW w:w="3172" w:type="pct"/>
            <w:gridSpan w:val="5"/>
            <w:noWrap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:rsidR="00E85AEE" w:rsidRDefault="002C41D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kern w:val="0"/>
                <w:sz w:val="32"/>
                <w:szCs w:val="32"/>
                <w:lang w:bidi="zh-CN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32"/>
                <w:szCs w:val="32"/>
                <w:lang w:bidi="zh-CN"/>
              </w:rPr>
              <w:t>合计金额：（大写）人民币元整</w:t>
            </w:r>
          </w:p>
        </w:tc>
        <w:tc>
          <w:tcPr>
            <w:tcW w:w="1828" w:type="pct"/>
            <w:gridSpan w:val="4"/>
            <w:noWrap/>
            <w:vAlign w:val="center"/>
          </w:tcPr>
          <w:p w:rsidR="00E85AEE" w:rsidRDefault="002C41D1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kern w:val="0"/>
                <w:sz w:val="32"/>
                <w:szCs w:val="32"/>
                <w:lang w:bidi="zh-CN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32"/>
                <w:szCs w:val="32"/>
                <w:lang w:bidi="zh-CN"/>
              </w:rPr>
              <w:t>（小写）¥</w:t>
            </w:r>
          </w:p>
        </w:tc>
      </w:tr>
      <w:tr w:rsidR="00E85AEE" w:rsidTr="00F37BC1">
        <w:trPr>
          <w:trHeight w:val="454"/>
        </w:trPr>
        <w:tc>
          <w:tcPr>
            <w:tcW w:w="5000" w:type="pct"/>
            <w:gridSpan w:val="9"/>
            <w:noWrap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:rsidR="00E85AEE" w:rsidRDefault="002C41D1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kern w:val="0"/>
                <w:sz w:val="32"/>
                <w:szCs w:val="32"/>
                <w:lang w:bidi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lastRenderedPageBreak/>
              <w:t>二、商务要求</w:t>
            </w:r>
          </w:p>
        </w:tc>
      </w:tr>
      <w:tr w:rsidR="00E85AEE" w:rsidTr="00F37BC1">
        <w:trPr>
          <w:trHeight w:val="498"/>
        </w:trPr>
        <w:tc>
          <w:tcPr>
            <w:tcW w:w="578" w:type="pct"/>
            <w:gridSpan w:val="2"/>
            <w:noWrap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:rsidR="00E85AEE" w:rsidRDefault="002C41D1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报价说明</w:t>
            </w:r>
          </w:p>
        </w:tc>
        <w:tc>
          <w:tcPr>
            <w:tcW w:w="4422" w:type="pct"/>
            <w:gridSpan w:val="7"/>
            <w:noWrap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:rsidR="00E85AEE" w:rsidRDefault="002C41D1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▲1.报价包含</w:t>
            </w:r>
            <w:r w:rsidR="00016C0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开展工作需要的打印证书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及各项税金</w:t>
            </w:r>
            <w:r w:rsidR="00016C0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等全部成本支出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。</w:t>
            </w:r>
          </w:p>
          <w:p w:rsidR="00E85AEE" w:rsidRDefault="002C41D1" w:rsidP="00834AAC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▲2</w:t>
            </w:r>
            <w:r w:rsidR="00834A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供应商应充分考虑服务成本及参数要求再进行报价</w:t>
            </w:r>
            <w:r w:rsidR="00016C0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。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如供应商低价恶意竞价、且成交后无法按要求提供服务或者所供服务无法满足要求的，采购人将按虚假竞标处理，并保留因耽误采购人使用时间造成的损失进行赔偿的权利，追究投标人的法律责任，由此引发的一切后果由投标人承担。</w:t>
            </w:r>
          </w:p>
        </w:tc>
      </w:tr>
      <w:tr w:rsidR="00E85AEE" w:rsidTr="00F37BC1">
        <w:trPr>
          <w:trHeight w:val="498"/>
        </w:trPr>
        <w:tc>
          <w:tcPr>
            <w:tcW w:w="578" w:type="pct"/>
            <w:gridSpan w:val="2"/>
            <w:noWrap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:rsidR="00E85AEE" w:rsidRDefault="002C41D1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产品及售后服务要求</w:t>
            </w:r>
          </w:p>
        </w:tc>
        <w:tc>
          <w:tcPr>
            <w:tcW w:w="4422" w:type="pct"/>
            <w:gridSpan w:val="7"/>
            <w:noWrap/>
            <w:tcMar>
              <w:top w:w="13" w:type="dxa"/>
              <w:left w:w="57" w:type="dxa"/>
              <w:bottom w:w="0" w:type="dxa"/>
              <w:right w:w="57" w:type="dxa"/>
            </w:tcMar>
          </w:tcPr>
          <w:p w:rsidR="00E85AEE" w:rsidRDefault="002C41D1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▲1.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按</w:t>
            </w: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广西中医药大学百年乐制药有限公司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提出的意见</w:t>
            </w: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建议和问题进行修改完善。</w:t>
            </w:r>
          </w:p>
          <w:p w:rsidR="00E85AEE" w:rsidRDefault="002C41D1">
            <w:pPr>
              <w:widowControl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▲</w:t>
            </w: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2.</w:t>
            </w:r>
            <w:r w:rsidR="00016C05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校准工作</w:t>
            </w: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完成后应经过广西中医药大学百年乐制药有限公司审核通过</w:t>
            </w:r>
          </w:p>
          <w:p w:rsidR="00E85AEE" w:rsidRDefault="00E85AEE">
            <w:pPr>
              <w:rPr>
                <w:rFonts w:ascii="仿宋" w:eastAsia="仿宋_GB2312" w:hAnsi="仿宋" w:cs="仿宋"/>
                <w:sz w:val="32"/>
                <w:szCs w:val="32"/>
              </w:rPr>
            </w:pPr>
          </w:p>
        </w:tc>
      </w:tr>
      <w:tr w:rsidR="00E85AEE" w:rsidTr="00F37BC1">
        <w:trPr>
          <w:trHeight w:val="498"/>
        </w:trPr>
        <w:tc>
          <w:tcPr>
            <w:tcW w:w="578" w:type="pct"/>
            <w:gridSpan w:val="2"/>
            <w:noWrap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:rsidR="00E85AEE" w:rsidRDefault="002C41D1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交付时间</w:t>
            </w:r>
          </w:p>
        </w:tc>
        <w:tc>
          <w:tcPr>
            <w:tcW w:w="4422" w:type="pct"/>
            <w:gridSpan w:val="7"/>
            <w:noWrap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:rsidR="00E85AEE" w:rsidRDefault="002C41D1">
            <w:pPr>
              <w:widowControl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1.交付时间：自签订合同之日起</w:t>
            </w:r>
            <w:r w:rsidR="00016C05" w:rsidRPr="000A4A3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根据本公司要求的时间</w:t>
            </w:r>
            <w:r w:rsidRPr="000A4A3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全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部交付完成</w:t>
            </w:r>
            <w:r w:rsidR="00016C0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。</w:t>
            </w:r>
          </w:p>
          <w:p w:rsidR="00E85AEE" w:rsidRDefault="002C41D1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2.交付地点：</w:t>
            </w: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广西中医药大学百年乐制药有限公司</w:t>
            </w:r>
            <w:bookmarkStart w:id="3" w:name="_GoBack"/>
            <w:bookmarkEnd w:id="3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。</w:t>
            </w:r>
          </w:p>
        </w:tc>
      </w:tr>
      <w:tr w:rsidR="00E85AEE" w:rsidTr="00F37BC1">
        <w:trPr>
          <w:trHeight w:val="498"/>
        </w:trPr>
        <w:tc>
          <w:tcPr>
            <w:tcW w:w="578" w:type="pct"/>
            <w:gridSpan w:val="2"/>
            <w:noWrap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:rsidR="00E85AEE" w:rsidRDefault="002C41D1">
            <w:pPr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三、其它要求</w:t>
            </w:r>
          </w:p>
        </w:tc>
        <w:tc>
          <w:tcPr>
            <w:tcW w:w="4422" w:type="pct"/>
            <w:gridSpan w:val="7"/>
            <w:noWrap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:rsidR="00E85AEE" w:rsidRDefault="00E85AEE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E85AEE" w:rsidTr="00F37BC1">
        <w:trPr>
          <w:trHeight w:val="498"/>
        </w:trPr>
        <w:tc>
          <w:tcPr>
            <w:tcW w:w="5000" w:type="pct"/>
            <w:gridSpan w:val="9"/>
            <w:noWrap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:rsidR="00E85AEE" w:rsidRDefault="002C41D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（填写其他补充事项）</w:t>
            </w:r>
          </w:p>
        </w:tc>
      </w:tr>
      <w:tr w:rsidR="00E85AEE" w:rsidTr="00F37BC1">
        <w:trPr>
          <w:trHeight w:val="498"/>
        </w:trPr>
        <w:tc>
          <w:tcPr>
            <w:tcW w:w="5000" w:type="pct"/>
            <w:gridSpan w:val="9"/>
            <w:noWrap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:rsidR="00E85AEE" w:rsidRDefault="00E85AEE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:rsidR="00E85AEE" w:rsidRDefault="002C41D1" w:rsidP="00B6627B">
      <w:pPr>
        <w:ind w:rightChars="-364" w:right="-764"/>
        <w:rPr>
          <w:rFonts w:ascii="方正仿宋_GB2312" w:eastAsia="方正仿宋_GB2312" w:hAnsi="方正仿宋_GB2312" w:cs="方正仿宋_GB2312"/>
          <w:bCs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注：所有价格均用人民币表示，单位为元，精确到小数点后两位。</w:t>
      </w:r>
    </w:p>
    <w:p w:rsidR="00E85AEE" w:rsidRDefault="00E85AEE" w:rsidP="00016C05">
      <w:pPr>
        <w:spacing w:line="360" w:lineRule="auto"/>
        <w:ind w:leftChars="5" w:left="10" w:firstLineChars="198" w:firstLine="634"/>
        <w:rPr>
          <w:rFonts w:ascii="方正仿宋_GB2312" w:eastAsia="方正仿宋_GB2312" w:hAnsi="方正仿宋_GB2312" w:cs="方正仿宋_GB2312"/>
          <w:sz w:val="32"/>
          <w:szCs w:val="32"/>
        </w:rPr>
      </w:pPr>
    </w:p>
    <w:p w:rsidR="00E85AEE" w:rsidRDefault="002C41D1" w:rsidP="00016C05">
      <w:pPr>
        <w:spacing w:line="360" w:lineRule="auto"/>
        <w:ind w:leftChars="5" w:left="10" w:firstLineChars="198" w:firstLine="634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我公司承诺，已阅知此项目的所有采购内容，并已按要求给出完整、合理、最优的需求及报价。</w:t>
      </w:r>
    </w:p>
    <w:p w:rsidR="00E85AEE" w:rsidRDefault="002C41D1" w:rsidP="00016C05">
      <w:pPr>
        <w:spacing w:line="360" w:lineRule="auto"/>
        <w:ind w:leftChars="5" w:left="10" w:firstLineChars="198" w:firstLine="634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供应商全称：（公章）</w:t>
      </w:r>
    </w:p>
    <w:p w:rsidR="00E85AEE" w:rsidRDefault="002C41D1" w:rsidP="00016C05">
      <w:pPr>
        <w:spacing w:line="360" w:lineRule="auto"/>
        <w:ind w:leftChars="5" w:left="10" w:firstLineChars="198" w:firstLine="634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法定代表人或委托代理人：（签字或签章）</w:t>
      </w:r>
    </w:p>
    <w:p w:rsidR="00E85AEE" w:rsidRDefault="002C41D1" w:rsidP="00016C05">
      <w:pPr>
        <w:spacing w:line="360" w:lineRule="auto"/>
        <w:ind w:leftChars="5" w:left="10" w:firstLineChars="198" w:firstLine="634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供应商地址：</w:t>
      </w:r>
    </w:p>
    <w:p w:rsidR="00E85AEE" w:rsidRDefault="002C41D1" w:rsidP="00016C05">
      <w:pPr>
        <w:spacing w:line="360" w:lineRule="auto"/>
        <w:ind w:leftChars="5" w:left="10" w:firstLineChars="198" w:firstLine="634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供应商联系方式：（联系人、联系电话）</w:t>
      </w:r>
    </w:p>
    <w:p w:rsidR="00E85AEE" w:rsidRDefault="00E85AEE">
      <w:pPr>
        <w:spacing w:line="360" w:lineRule="auto"/>
        <w:rPr>
          <w:rFonts w:ascii="方正仿宋_GB2312" w:eastAsia="方正仿宋_GB2312" w:hAnsi="方正仿宋_GB2312" w:cs="方正仿宋_GB2312"/>
          <w:sz w:val="32"/>
          <w:szCs w:val="32"/>
        </w:rPr>
      </w:pPr>
    </w:p>
    <w:p w:rsidR="00E85AEE" w:rsidRDefault="00016C05" w:rsidP="00016C05">
      <w:pPr>
        <w:spacing w:line="360" w:lineRule="auto"/>
        <w:ind w:leftChars="1" w:left="12" w:hangingChars="3" w:hanging="10"/>
        <w:jc w:val="center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 xml:space="preserve">                           </w:t>
      </w:r>
      <w:r w:rsidR="002C41D1">
        <w:rPr>
          <w:rFonts w:ascii="方正仿宋_GB2312" w:eastAsia="方正仿宋_GB2312" w:hAnsi="方正仿宋_GB2312" w:cs="方正仿宋_GB2312" w:hint="eastAsia"/>
          <w:sz w:val="32"/>
          <w:szCs w:val="32"/>
        </w:rPr>
        <w:t>日期：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 xml:space="preserve">     </w:t>
      </w:r>
      <w:r w:rsidR="002C41D1">
        <w:rPr>
          <w:rFonts w:ascii="方正仿宋_GB2312" w:eastAsia="方正仿宋_GB2312" w:hAnsi="方正仿宋_GB2312" w:cs="方正仿宋_GB2312" w:hint="eastAsia"/>
          <w:sz w:val="32"/>
          <w:szCs w:val="32"/>
        </w:rPr>
        <w:t>年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 xml:space="preserve">   </w:t>
      </w:r>
      <w:r w:rsidR="002C41D1">
        <w:rPr>
          <w:rFonts w:ascii="方正仿宋_GB2312" w:eastAsia="方正仿宋_GB2312" w:hAnsi="方正仿宋_GB2312" w:cs="方正仿宋_GB2312" w:hint="eastAsia"/>
          <w:sz w:val="32"/>
          <w:szCs w:val="32"/>
        </w:rPr>
        <w:t>月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 xml:space="preserve">   </w:t>
      </w:r>
      <w:r w:rsidR="002C41D1">
        <w:rPr>
          <w:rFonts w:ascii="方正仿宋_GB2312" w:eastAsia="方正仿宋_GB2312" w:hAnsi="方正仿宋_GB2312" w:cs="方正仿宋_GB2312" w:hint="eastAsia"/>
          <w:sz w:val="32"/>
          <w:szCs w:val="32"/>
        </w:rPr>
        <w:t>日</w:t>
      </w:r>
    </w:p>
    <w:p w:rsidR="00E85AEE" w:rsidRDefault="00E85AEE">
      <w:pPr>
        <w:rPr>
          <w:rFonts w:ascii="仿宋_GB2312" w:eastAsia="仿宋_GB2312" w:hAnsi="仿宋_GB2312" w:cs="仿宋_GB2312"/>
          <w:sz w:val="32"/>
          <w:szCs w:val="32"/>
        </w:rPr>
      </w:pPr>
    </w:p>
    <w:sectPr w:rsidR="00E85AEE" w:rsidSect="00E85A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1BF9" w:rsidRDefault="007B1BF9" w:rsidP="00016C05">
      <w:r>
        <w:separator/>
      </w:r>
    </w:p>
  </w:endnote>
  <w:endnote w:type="continuationSeparator" w:id="1">
    <w:p w:rsidR="007B1BF9" w:rsidRDefault="007B1BF9" w:rsidP="00016C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1BF9" w:rsidRDefault="007B1BF9" w:rsidP="00016C05">
      <w:r>
        <w:separator/>
      </w:r>
    </w:p>
  </w:footnote>
  <w:footnote w:type="continuationSeparator" w:id="1">
    <w:p w:rsidR="007B1BF9" w:rsidRDefault="007B1BF9" w:rsidP="00016C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E85AEE"/>
    <w:rsid w:val="00016C05"/>
    <w:rsid w:val="000A4A3C"/>
    <w:rsid w:val="002C41D1"/>
    <w:rsid w:val="004A0F85"/>
    <w:rsid w:val="00605F8F"/>
    <w:rsid w:val="007B1BF9"/>
    <w:rsid w:val="00834AAC"/>
    <w:rsid w:val="00A32F14"/>
    <w:rsid w:val="00B00E87"/>
    <w:rsid w:val="00B6627B"/>
    <w:rsid w:val="00BD1D3C"/>
    <w:rsid w:val="00C75720"/>
    <w:rsid w:val="00D530A9"/>
    <w:rsid w:val="00E7434A"/>
    <w:rsid w:val="00E85AEE"/>
    <w:rsid w:val="00F37BC1"/>
    <w:rsid w:val="04E34CD9"/>
    <w:rsid w:val="06AE7ADB"/>
    <w:rsid w:val="174175F6"/>
    <w:rsid w:val="18C9371F"/>
    <w:rsid w:val="1D40223D"/>
    <w:rsid w:val="1EE647BC"/>
    <w:rsid w:val="242E16E8"/>
    <w:rsid w:val="32D84FED"/>
    <w:rsid w:val="32FD6396"/>
    <w:rsid w:val="35DB5E19"/>
    <w:rsid w:val="3D7F613B"/>
    <w:rsid w:val="45471433"/>
    <w:rsid w:val="5FAB6055"/>
    <w:rsid w:val="62A41BC2"/>
    <w:rsid w:val="63FA62C6"/>
    <w:rsid w:val="642302B9"/>
    <w:rsid w:val="72AB1C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5AE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E85A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character" w:styleId="a3">
    <w:name w:val="Hyperlink"/>
    <w:basedOn w:val="a0"/>
    <w:qFormat/>
    <w:rsid w:val="00E85AEE"/>
    <w:rPr>
      <w:color w:val="0000FF"/>
      <w:u w:val="single"/>
    </w:rPr>
  </w:style>
  <w:style w:type="paragraph" w:styleId="a4">
    <w:name w:val="header"/>
    <w:basedOn w:val="a"/>
    <w:link w:val="Char"/>
    <w:rsid w:val="00016C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16C0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016C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16C0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140</Words>
  <Characters>803</Characters>
  <Application>Microsoft Office Word</Application>
  <DocSecurity>0</DocSecurity>
  <Lines>6</Lines>
  <Paragraphs>1</Paragraphs>
  <ScaleCrop>false</ScaleCrop>
  <Company>Microsoft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2026-03-23T03:56:00Z</cp:lastPrinted>
  <dcterms:created xsi:type="dcterms:W3CDTF">2025-09-14T09:25:00Z</dcterms:created>
  <dcterms:modified xsi:type="dcterms:W3CDTF">2026-03-23T03:56:00Z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eyJoZGlkIjoiMDFhZTUxZGM0MzUxYTIwMWJmMGZhNWI5YTQ1YjI5ZTYiLCJ1c2VySWQiOiI1MzAxMDI3NTcifQ==</vt:lpwstr>
  </property>
  <property fmtid="{D5CDD505-2E9C-101B-9397-08002B2CF9AE}" pid="4" name="ICV">
    <vt:lpwstr>EAA7CBA0D923409F93EBA03BF6A64450_13</vt:lpwstr>
  </property>
</Properties>
</file>