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3485A4">
      <w:pPr>
        <w:pStyle w:val="2"/>
        <w:keepNext w:val="0"/>
        <w:keepLines w:val="0"/>
        <w:widowControl/>
        <w:suppressLineNumbers w:val="0"/>
        <w:spacing w:line="420" w:lineRule="atLeast"/>
        <w:jc w:val="left"/>
        <w:rPr>
          <w:rFonts w:hint="eastAsia" w:ascii="微软雅黑" w:hAnsi="微软雅黑" w:eastAsia="微软雅黑" w:cs="微软雅黑"/>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rPr>
        <w:t>      附件： </w:t>
      </w:r>
    </w:p>
    <w:p w14:paraId="1FD8185A">
      <w:pPr>
        <w:widowControl/>
        <w:spacing w:line="460" w:lineRule="exact"/>
        <w:jc w:val="center"/>
        <w:rPr>
          <w:rFonts w:ascii="宋体" w:hAnsi="宋体" w:cs="宋体"/>
          <w:b/>
          <w:bCs/>
          <w:color w:val="000000"/>
          <w:sz w:val="28"/>
          <w:szCs w:val="28"/>
        </w:rPr>
      </w:pPr>
      <w:r>
        <w:rPr>
          <w:rFonts w:hint="eastAsia" w:ascii="宋体" w:hAnsi="宋体" w:cs="宋体"/>
          <w:b/>
          <w:bCs/>
          <w:color w:val="000000"/>
          <w:sz w:val="28"/>
          <w:szCs w:val="28"/>
        </w:rPr>
        <w:t>需求征集明细表</w:t>
      </w:r>
    </w:p>
    <w:tbl>
      <w:tblPr>
        <w:tblStyle w:val="3"/>
        <w:tblpPr w:leftFromText="180" w:rightFromText="180" w:vertAnchor="text" w:horzAnchor="page" w:tblpXSpec="center" w:tblpY="469"/>
        <w:tblOverlap w:val="never"/>
        <w:tblW w:w="51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0"/>
        <w:gridCol w:w="496"/>
        <w:gridCol w:w="345"/>
        <w:gridCol w:w="1290"/>
        <w:gridCol w:w="3064"/>
        <w:gridCol w:w="540"/>
        <w:gridCol w:w="540"/>
        <w:gridCol w:w="865"/>
        <w:gridCol w:w="931"/>
      </w:tblGrid>
      <w:tr w14:paraId="53E8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000" w:type="pct"/>
            <w:gridSpan w:val="9"/>
            <w:noWrap w:val="0"/>
            <w:tcMar>
              <w:top w:w="13" w:type="dxa"/>
              <w:left w:w="57" w:type="dxa"/>
              <w:bottom w:w="0" w:type="dxa"/>
              <w:right w:w="57" w:type="dxa"/>
            </w:tcMar>
            <w:vAlign w:val="center"/>
          </w:tcPr>
          <w:p w14:paraId="446758FD">
            <w:pPr>
              <w:rPr>
                <w:rFonts w:ascii="宋体" w:hAnsi="宋体" w:cs="仿宋_GB2312"/>
                <w:b/>
                <w:bCs/>
                <w:color w:val="000000"/>
                <w:kern w:val="0"/>
              </w:rPr>
            </w:pPr>
            <w:r>
              <w:rPr>
                <w:rFonts w:hint="eastAsia" w:ascii="宋体" w:hAnsi="宋体" w:cs="仿宋_GB2312"/>
                <w:b/>
                <w:bCs/>
                <w:color w:val="000000"/>
                <w:kern w:val="0"/>
              </w:rPr>
              <w:t>一、技术要求</w:t>
            </w:r>
          </w:p>
        </w:tc>
      </w:tr>
      <w:tr w14:paraId="2310A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8" w:type="pct"/>
            <w:noWrap w:val="0"/>
            <w:tcMar>
              <w:top w:w="13" w:type="dxa"/>
              <w:left w:w="57" w:type="dxa"/>
              <w:bottom w:w="0" w:type="dxa"/>
              <w:right w:w="57" w:type="dxa"/>
            </w:tcMar>
            <w:vAlign w:val="center"/>
          </w:tcPr>
          <w:p w14:paraId="653265CC">
            <w:pPr>
              <w:jc w:val="center"/>
              <w:rPr>
                <w:rFonts w:ascii="宋体" w:hAnsi="宋体"/>
                <w:b/>
                <w:bCs/>
                <w:color w:val="000000"/>
                <w:kern w:val="0"/>
              </w:rPr>
            </w:pPr>
            <w:r>
              <w:rPr>
                <w:rFonts w:hint="eastAsia" w:ascii="宋体" w:hAnsi="宋体"/>
                <w:b/>
                <w:bCs/>
                <w:color w:val="000000"/>
                <w:kern w:val="0"/>
              </w:rPr>
              <w:t>序号</w:t>
            </w:r>
          </w:p>
        </w:tc>
        <w:tc>
          <w:tcPr>
            <w:tcW w:w="487" w:type="pct"/>
            <w:gridSpan w:val="2"/>
            <w:noWrap w:val="0"/>
            <w:tcMar>
              <w:top w:w="13" w:type="dxa"/>
              <w:left w:w="57" w:type="dxa"/>
              <w:bottom w:w="0" w:type="dxa"/>
              <w:right w:w="57" w:type="dxa"/>
            </w:tcMar>
            <w:vAlign w:val="center"/>
          </w:tcPr>
          <w:p w14:paraId="1DE5EFD8">
            <w:pPr>
              <w:snapToGrid w:val="0"/>
              <w:jc w:val="center"/>
              <w:rPr>
                <w:rFonts w:ascii="宋体" w:hAnsi="宋体"/>
                <w:b/>
                <w:bCs/>
                <w:color w:val="000000"/>
              </w:rPr>
            </w:pPr>
            <w:r>
              <w:rPr>
                <w:rFonts w:hint="eastAsia" w:ascii="宋体" w:hAnsi="宋体"/>
                <w:b/>
                <w:bCs/>
                <w:color w:val="000000"/>
              </w:rPr>
              <w:t>采购内容</w:t>
            </w:r>
          </w:p>
        </w:tc>
        <w:tc>
          <w:tcPr>
            <w:tcW w:w="748" w:type="pct"/>
            <w:noWrap w:val="0"/>
            <w:tcMar>
              <w:top w:w="13" w:type="dxa"/>
              <w:left w:w="57" w:type="dxa"/>
              <w:bottom w:w="0" w:type="dxa"/>
              <w:right w:w="57" w:type="dxa"/>
            </w:tcMar>
            <w:vAlign w:val="center"/>
          </w:tcPr>
          <w:p w14:paraId="6DB1791C">
            <w:pPr>
              <w:snapToGrid w:val="0"/>
              <w:jc w:val="center"/>
              <w:rPr>
                <w:rFonts w:ascii="宋体" w:hAnsi="宋体"/>
                <w:b/>
                <w:bCs/>
                <w:color w:val="000000"/>
                <w:kern w:val="0"/>
              </w:rPr>
            </w:pPr>
            <w:r>
              <w:rPr>
                <w:rFonts w:hint="eastAsia" w:ascii="宋体" w:hAnsi="宋体"/>
                <w:b/>
                <w:bCs/>
                <w:color w:val="000000"/>
              </w:rPr>
              <w:t>品牌型号、生产厂家</w:t>
            </w:r>
          </w:p>
        </w:tc>
        <w:tc>
          <w:tcPr>
            <w:tcW w:w="1777" w:type="pct"/>
            <w:noWrap w:val="0"/>
            <w:tcMar>
              <w:top w:w="13" w:type="dxa"/>
              <w:left w:w="57" w:type="dxa"/>
              <w:bottom w:w="0" w:type="dxa"/>
              <w:right w:w="57" w:type="dxa"/>
            </w:tcMar>
            <w:vAlign w:val="center"/>
          </w:tcPr>
          <w:p w14:paraId="1ED71BA5">
            <w:pPr>
              <w:jc w:val="center"/>
              <w:rPr>
                <w:rFonts w:ascii="宋体" w:hAnsi="宋体"/>
                <w:b/>
                <w:bCs/>
                <w:color w:val="000000"/>
              </w:rPr>
            </w:pPr>
            <w:r>
              <w:rPr>
                <w:rFonts w:hint="eastAsia" w:ascii="宋体" w:hAnsi="宋体" w:cs="仿宋_GB2312"/>
                <w:b/>
                <w:bCs/>
                <w:color w:val="000000"/>
                <w:kern w:val="0"/>
              </w:rPr>
              <w:t>技术参数</w:t>
            </w:r>
          </w:p>
        </w:tc>
        <w:tc>
          <w:tcPr>
            <w:tcW w:w="313" w:type="pct"/>
            <w:noWrap w:val="0"/>
            <w:vAlign w:val="center"/>
          </w:tcPr>
          <w:p w14:paraId="76C6C11B">
            <w:pPr>
              <w:jc w:val="center"/>
              <w:rPr>
                <w:rFonts w:ascii="宋体" w:hAnsi="宋体" w:cs="仿宋_GB2312"/>
                <w:b/>
                <w:bCs/>
                <w:color w:val="000000"/>
                <w:kern w:val="0"/>
              </w:rPr>
            </w:pPr>
            <w:r>
              <w:rPr>
                <w:rFonts w:hint="eastAsia" w:ascii="宋体" w:hAnsi="宋体" w:cs="仿宋_GB2312"/>
                <w:b/>
                <w:bCs/>
                <w:color w:val="000000"/>
                <w:kern w:val="0"/>
              </w:rPr>
              <w:t>计量</w:t>
            </w:r>
          </w:p>
          <w:p w14:paraId="371418AF">
            <w:pPr>
              <w:jc w:val="center"/>
              <w:rPr>
                <w:rFonts w:ascii="宋体" w:hAnsi="宋体"/>
                <w:b/>
                <w:bCs/>
                <w:color w:val="000000"/>
              </w:rPr>
            </w:pPr>
            <w:r>
              <w:rPr>
                <w:rFonts w:hint="eastAsia" w:ascii="宋体" w:hAnsi="宋体" w:cs="仿宋_GB2312"/>
                <w:b/>
                <w:bCs/>
                <w:color w:val="000000"/>
                <w:kern w:val="0"/>
              </w:rPr>
              <w:t>单位</w:t>
            </w:r>
          </w:p>
        </w:tc>
        <w:tc>
          <w:tcPr>
            <w:tcW w:w="313" w:type="pct"/>
            <w:noWrap w:val="0"/>
            <w:vAlign w:val="center"/>
          </w:tcPr>
          <w:p w14:paraId="30B0098B">
            <w:pPr>
              <w:jc w:val="center"/>
              <w:rPr>
                <w:rFonts w:ascii="宋体" w:hAnsi="宋体"/>
                <w:b/>
                <w:bCs/>
                <w:color w:val="000000"/>
              </w:rPr>
            </w:pPr>
            <w:r>
              <w:rPr>
                <w:rFonts w:hint="eastAsia" w:ascii="宋体" w:hAnsi="宋体" w:cs="仿宋_GB2312"/>
                <w:b/>
                <w:bCs/>
                <w:color w:val="000000"/>
                <w:kern w:val="0"/>
              </w:rPr>
              <w:t>数量</w:t>
            </w:r>
          </w:p>
        </w:tc>
        <w:tc>
          <w:tcPr>
            <w:tcW w:w="501" w:type="pct"/>
            <w:noWrap w:val="0"/>
            <w:vAlign w:val="center"/>
          </w:tcPr>
          <w:p w14:paraId="0409E966">
            <w:pPr>
              <w:jc w:val="center"/>
              <w:rPr>
                <w:rFonts w:ascii="宋体" w:hAnsi="宋体" w:cs="仿宋_GB2312"/>
                <w:b/>
                <w:bCs/>
                <w:color w:val="000000"/>
                <w:kern w:val="0"/>
              </w:rPr>
            </w:pPr>
            <w:r>
              <w:rPr>
                <w:rFonts w:hint="eastAsia" w:ascii="宋体" w:hAnsi="宋体" w:cs="仿宋_GB2312"/>
                <w:b/>
                <w:bCs/>
                <w:color w:val="000000"/>
                <w:kern w:val="0"/>
              </w:rPr>
              <w:t>单价</w:t>
            </w:r>
          </w:p>
          <w:p w14:paraId="359650E4">
            <w:pPr>
              <w:jc w:val="center"/>
              <w:rPr>
                <w:rFonts w:ascii="宋体" w:hAnsi="宋体" w:cs="仿宋_GB2312"/>
                <w:b/>
                <w:bCs/>
                <w:color w:val="000000"/>
                <w:kern w:val="0"/>
              </w:rPr>
            </w:pPr>
            <w:r>
              <w:rPr>
                <w:rFonts w:hint="eastAsia" w:ascii="宋体" w:hAnsi="宋体" w:cs="仿宋_GB2312"/>
                <w:b/>
                <w:bCs/>
                <w:color w:val="000000"/>
                <w:kern w:val="0"/>
              </w:rPr>
              <w:t>（元）</w:t>
            </w:r>
          </w:p>
        </w:tc>
        <w:tc>
          <w:tcPr>
            <w:tcW w:w="539" w:type="pct"/>
            <w:noWrap w:val="0"/>
            <w:vAlign w:val="center"/>
          </w:tcPr>
          <w:p w14:paraId="5B55DA05">
            <w:pPr>
              <w:jc w:val="center"/>
              <w:rPr>
                <w:rFonts w:ascii="宋体" w:hAnsi="宋体" w:cs="仿宋_GB2312"/>
                <w:b/>
                <w:bCs/>
                <w:color w:val="000000"/>
                <w:kern w:val="0"/>
              </w:rPr>
            </w:pPr>
            <w:r>
              <w:rPr>
                <w:rFonts w:hint="eastAsia" w:ascii="宋体" w:hAnsi="宋体" w:cs="仿宋_GB2312"/>
                <w:b/>
                <w:bCs/>
                <w:color w:val="000000"/>
                <w:kern w:val="0"/>
              </w:rPr>
              <w:t>小计</w:t>
            </w:r>
          </w:p>
          <w:p w14:paraId="49C0784D">
            <w:pPr>
              <w:jc w:val="center"/>
              <w:rPr>
                <w:rFonts w:ascii="宋体" w:hAnsi="宋体" w:cs="仿宋_GB2312"/>
                <w:b/>
                <w:bCs/>
                <w:color w:val="000000"/>
                <w:kern w:val="0"/>
              </w:rPr>
            </w:pPr>
            <w:r>
              <w:rPr>
                <w:rFonts w:hint="eastAsia" w:ascii="宋体" w:hAnsi="宋体" w:cs="仿宋_GB2312"/>
                <w:b/>
                <w:bCs/>
                <w:color w:val="000000"/>
                <w:kern w:val="0"/>
              </w:rPr>
              <w:t>（元）</w:t>
            </w:r>
          </w:p>
        </w:tc>
      </w:tr>
      <w:tr w14:paraId="3B69D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318" w:type="pct"/>
            <w:noWrap w:val="0"/>
            <w:tcMar>
              <w:top w:w="13" w:type="dxa"/>
              <w:left w:w="57" w:type="dxa"/>
              <w:bottom w:w="0" w:type="dxa"/>
              <w:right w:w="57" w:type="dxa"/>
            </w:tcMar>
            <w:vAlign w:val="center"/>
          </w:tcPr>
          <w:p w14:paraId="49221303">
            <w:pPr>
              <w:jc w:val="center"/>
              <w:rPr>
                <w:rFonts w:hint="eastAsia" w:ascii="宋体" w:hAnsi="宋体" w:cs="宋体" w:eastAsiaTheme="minorEastAsia"/>
                <w:color w:val="000000"/>
                <w:lang w:eastAsia="zh-CN"/>
              </w:rPr>
            </w:pPr>
            <w:bookmarkStart w:id="0" w:name="_Hlk199951007"/>
            <w:bookmarkStart w:id="1" w:name="OLE_LINK5" w:colFirst="1" w:colLast="69"/>
            <w:bookmarkStart w:id="2" w:name="OLE_LINK6" w:colFirst="1" w:colLast="69"/>
            <w:r>
              <w:rPr>
                <w:rFonts w:hint="eastAsia"/>
                <w:color w:val="000000"/>
                <w:lang w:val="en-US" w:eastAsia="zh-CN"/>
              </w:rPr>
              <w:t>1</w:t>
            </w:r>
          </w:p>
        </w:tc>
        <w:tc>
          <w:tcPr>
            <w:tcW w:w="487" w:type="pct"/>
            <w:gridSpan w:val="2"/>
            <w:noWrap w:val="0"/>
            <w:tcMar>
              <w:top w:w="13" w:type="dxa"/>
              <w:left w:w="57" w:type="dxa"/>
              <w:bottom w:w="0" w:type="dxa"/>
              <w:right w:w="57" w:type="dxa"/>
            </w:tcMar>
            <w:vAlign w:val="center"/>
          </w:tcPr>
          <w:p w14:paraId="0A0B913D">
            <w:pPr>
              <w:keepNext w:val="0"/>
              <w:keepLines w:val="0"/>
              <w:widowControl/>
              <w:suppressLineNumbers w:val="0"/>
              <w:jc w:val="left"/>
              <w:textAlignment w:val="center"/>
              <w:rPr>
                <w:rFonts w:ascii="宋体" w:hAnsi="宋体" w:cs="宋体"/>
                <w:color w:val="000000"/>
              </w:rPr>
            </w:pPr>
            <w:r>
              <w:rPr>
                <w:rFonts w:hint="eastAsia" w:ascii="宋体" w:hAnsi="宋体" w:eastAsia="宋体" w:cs="宋体"/>
                <w:i w:val="0"/>
                <w:iCs w:val="0"/>
                <w:color w:val="000000"/>
                <w:kern w:val="0"/>
                <w:sz w:val="20"/>
                <w:szCs w:val="20"/>
                <w:u w:val="none"/>
                <w:lang w:val="en-US" w:eastAsia="zh-CN" w:bidi="ar"/>
              </w:rPr>
              <w:t>高分辨离子淌度四极杆飞行时间质谱仪</w:t>
            </w:r>
          </w:p>
        </w:tc>
        <w:tc>
          <w:tcPr>
            <w:tcW w:w="748" w:type="pct"/>
            <w:noWrap w:val="0"/>
            <w:tcMar>
              <w:top w:w="13" w:type="dxa"/>
              <w:left w:w="57" w:type="dxa"/>
              <w:bottom w:w="0" w:type="dxa"/>
              <w:right w:w="57" w:type="dxa"/>
            </w:tcMar>
            <w:vAlign w:val="center"/>
          </w:tcPr>
          <w:p w14:paraId="7B7698C9">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Bruke/tims TOF Pro2</w:t>
            </w:r>
          </w:p>
          <w:p w14:paraId="0A3143EB">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Waters/Select Series Cyclic </w:t>
            </w:r>
          </w:p>
          <w:p w14:paraId="01D011AD">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Thermo Fisher/Orbitrap Exploris 240</w:t>
            </w:r>
          </w:p>
        </w:tc>
        <w:tc>
          <w:tcPr>
            <w:tcW w:w="1777" w:type="pct"/>
            <w:noWrap w:val="0"/>
            <w:tcMar>
              <w:top w:w="13" w:type="dxa"/>
              <w:left w:w="57" w:type="dxa"/>
              <w:bottom w:w="0" w:type="dxa"/>
              <w:right w:w="57" w:type="dxa"/>
            </w:tcMar>
            <w:vAlign w:val="top"/>
          </w:tcPr>
          <w:p w14:paraId="0812366E">
            <w:pPr>
              <w:keepNext w:val="0"/>
              <w:keepLines w:val="0"/>
              <w:widowControl/>
              <w:suppressLineNumbers w:val="0"/>
              <w:jc w:val="left"/>
              <w:textAlignment w:val="top"/>
              <w:rPr>
                <w:rFonts w:hint="eastAsia" w:ascii="宋体" w:hAnsi="宋体" w:cs="宋体"/>
                <w:color w:val="000000"/>
              </w:rPr>
            </w:pPr>
            <w:r>
              <w:rPr>
                <w:rFonts w:hint="eastAsia" w:ascii="宋体" w:hAnsi="宋体" w:cs="宋体"/>
                <w:color w:val="000000"/>
              </w:rPr>
              <w:t>1.主要应用范围</w:t>
            </w:r>
          </w:p>
          <w:p w14:paraId="3A719A85">
            <w:pPr>
              <w:keepNext w:val="0"/>
              <w:keepLines w:val="0"/>
              <w:widowControl/>
              <w:suppressLineNumbers w:val="0"/>
              <w:jc w:val="left"/>
              <w:textAlignment w:val="top"/>
              <w:rPr>
                <w:rFonts w:hint="eastAsia" w:ascii="宋体" w:hAnsi="宋体" w:cs="宋体"/>
                <w:color w:val="000000"/>
              </w:rPr>
            </w:pPr>
            <w:r>
              <w:rPr>
                <w:rFonts w:hint="eastAsia" w:ascii="宋体" w:hAnsi="宋体" w:cs="宋体"/>
                <w:color w:val="000000"/>
              </w:rPr>
              <w:t xml:space="preserve">1.1 化合物分子式确认和未知物分子式推断，有机化合物的定性定量，目标化合物和未知物的筛选、定量、确证; </w:t>
            </w:r>
          </w:p>
          <w:p w14:paraId="27488E64">
            <w:pPr>
              <w:keepNext w:val="0"/>
              <w:keepLines w:val="0"/>
              <w:widowControl/>
              <w:suppressLineNumbers w:val="0"/>
              <w:jc w:val="left"/>
              <w:textAlignment w:val="top"/>
              <w:rPr>
                <w:rFonts w:hint="eastAsia" w:ascii="宋体" w:hAnsi="宋体" w:cs="宋体"/>
                <w:color w:val="000000"/>
              </w:rPr>
            </w:pPr>
            <w:r>
              <w:rPr>
                <w:rFonts w:hint="eastAsia" w:ascii="宋体" w:hAnsi="宋体" w:cs="宋体"/>
                <w:color w:val="000000"/>
              </w:rPr>
              <w:t>1.2 带CCS值的淌度分离，可进行同分异构分离；</w:t>
            </w:r>
          </w:p>
          <w:p w14:paraId="00FF755C">
            <w:pPr>
              <w:keepNext w:val="0"/>
              <w:keepLines w:val="0"/>
              <w:widowControl/>
              <w:suppressLineNumbers w:val="0"/>
              <w:jc w:val="left"/>
              <w:textAlignment w:val="top"/>
              <w:rPr>
                <w:rFonts w:hint="eastAsia" w:ascii="宋体" w:hAnsi="宋体" w:cs="宋体"/>
                <w:color w:val="000000"/>
              </w:rPr>
            </w:pPr>
            <w:r>
              <w:rPr>
                <w:rFonts w:hint="eastAsia" w:ascii="宋体" w:hAnsi="宋体" w:cs="宋体"/>
                <w:color w:val="000000"/>
              </w:rPr>
              <w:t xml:space="preserve">1.3 痕量多目标物质的快速筛查; </w:t>
            </w:r>
          </w:p>
          <w:p w14:paraId="0321DD74">
            <w:pPr>
              <w:keepNext w:val="0"/>
              <w:keepLines w:val="0"/>
              <w:widowControl/>
              <w:suppressLineNumbers w:val="0"/>
              <w:jc w:val="left"/>
              <w:textAlignment w:val="top"/>
              <w:rPr>
                <w:rFonts w:hint="eastAsia" w:ascii="宋体" w:hAnsi="宋体" w:cs="宋体"/>
                <w:color w:val="000000"/>
              </w:rPr>
            </w:pPr>
            <w:r>
              <w:rPr>
                <w:rFonts w:hint="eastAsia" w:ascii="宋体" w:hAnsi="宋体" w:cs="宋体"/>
                <w:color w:val="000000"/>
              </w:rPr>
              <w:t>1.4 代谢组学分析：代谢物鉴定和定量分析，代谢通路研究；</w:t>
            </w:r>
          </w:p>
          <w:p w14:paraId="17E5C955">
            <w:pPr>
              <w:keepNext w:val="0"/>
              <w:keepLines w:val="0"/>
              <w:widowControl/>
              <w:suppressLineNumbers w:val="0"/>
              <w:jc w:val="left"/>
              <w:textAlignment w:val="top"/>
              <w:rPr>
                <w:rFonts w:hint="eastAsia" w:ascii="宋体" w:hAnsi="宋体" w:cs="宋体"/>
                <w:color w:val="000000"/>
              </w:rPr>
            </w:pPr>
            <w:r>
              <w:rPr>
                <w:rFonts w:hint="eastAsia" w:ascii="宋体" w:hAnsi="宋体" w:cs="宋体"/>
                <w:color w:val="000000"/>
              </w:rPr>
              <w:t>1.5 多肽、蛋白、核酸分析；</w:t>
            </w:r>
          </w:p>
          <w:p w14:paraId="2187A012">
            <w:pPr>
              <w:keepNext w:val="0"/>
              <w:keepLines w:val="0"/>
              <w:widowControl/>
              <w:suppressLineNumbers w:val="0"/>
              <w:jc w:val="left"/>
              <w:textAlignment w:val="top"/>
              <w:rPr>
                <w:rFonts w:hint="eastAsia" w:ascii="宋体" w:hAnsi="宋体" w:cs="宋体"/>
                <w:color w:val="000000"/>
              </w:rPr>
            </w:pPr>
            <w:r>
              <w:rPr>
                <w:rFonts w:hint="eastAsia" w:ascii="宋体" w:hAnsi="宋体" w:cs="宋体"/>
                <w:color w:val="000000"/>
              </w:rPr>
              <w:t>1.6 蛋白质组学分析：使用二级质谱进行大规模高通量的蛋白质鉴定；翻译后修饰蛋白质组学；定量蛋白质组学，包括非标记定量、标记相对定量、以及目标蛋白质的绝对定量；蛋白相互作用研究；</w:t>
            </w:r>
          </w:p>
          <w:p w14:paraId="15587AB2">
            <w:pPr>
              <w:keepNext w:val="0"/>
              <w:keepLines w:val="0"/>
              <w:widowControl/>
              <w:suppressLineNumbers w:val="0"/>
              <w:jc w:val="left"/>
              <w:textAlignment w:val="top"/>
              <w:rPr>
                <w:rFonts w:hint="eastAsia" w:ascii="宋体" w:hAnsi="宋体" w:cs="宋体"/>
                <w:color w:val="000000"/>
              </w:rPr>
            </w:pPr>
            <w:r>
              <w:rPr>
                <w:rFonts w:hint="eastAsia" w:ascii="宋体" w:hAnsi="宋体" w:cs="宋体"/>
                <w:color w:val="000000"/>
              </w:rPr>
              <w:t>1.7 药物开发：小分子或大分子药物分析；药物筛选或新药发现；基于组学技术的药物作用基理研究；药用作用靶点发现。</w:t>
            </w:r>
          </w:p>
          <w:p w14:paraId="662E1A69">
            <w:pPr>
              <w:keepNext w:val="0"/>
              <w:keepLines w:val="0"/>
              <w:widowControl/>
              <w:suppressLineNumbers w:val="0"/>
              <w:jc w:val="left"/>
              <w:textAlignment w:val="top"/>
              <w:rPr>
                <w:rFonts w:hint="eastAsia" w:ascii="宋体" w:hAnsi="宋体" w:cs="宋体"/>
                <w:color w:val="000000"/>
              </w:rPr>
            </w:pPr>
            <w:r>
              <w:rPr>
                <w:rFonts w:hint="eastAsia" w:ascii="宋体" w:hAnsi="宋体" w:cs="宋体"/>
                <w:color w:val="000000"/>
              </w:rPr>
              <w:t>2.技术参数</w:t>
            </w:r>
          </w:p>
          <w:p w14:paraId="6BEB7F21">
            <w:pPr>
              <w:keepNext w:val="0"/>
              <w:keepLines w:val="0"/>
              <w:widowControl/>
              <w:suppressLineNumbers w:val="0"/>
              <w:jc w:val="left"/>
              <w:textAlignment w:val="top"/>
              <w:rPr>
                <w:rFonts w:hint="eastAsia" w:ascii="宋体" w:hAnsi="宋体" w:cs="宋体"/>
                <w:color w:val="000000"/>
              </w:rPr>
            </w:pPr>
            <w:r>
              <w:rPr>
                <w:rFonts w:hint="eastAsia" w:ascii="宋体" w:hAnsi="宋体" w:cs="宋体"/>
                <w:color w:val="000000"/>
              </w:rPr>
              <w:t>2.1 质谱仪技术规格</w:t>
            </w:r>
          </w:p>
          <w:p w14:paraId="727F582C">
            <w:pPr>
              <w:keepNext w:val="0"/>
              <w:keepLines w:val="0"/>
              <w:widowControl/>
              <w:suppressLineNumbers w:val="0"/>
              <w:jc w:val="left"/>
              <w:textAlignment w:val="top"/>
              <w:rPr>
                <w:rFonts w:hint="eastAsia" w:ascii="宋体" w:hAnsi="宋体" w:cs="宋体"/>
                <w:color w:val="000000"/>
              </w:rPr>
            </w:pPr>
            <w:r>
              <w:rPr>
                <w:rFonts w:hint="eastAsia" w:ascii="宋体" w:hAnsi="宋体" w:cs="宋体"/>
                <w:color w:val="000000"/>
              </w:rPr>
              <w:t>2.1.1 离子源采用逆向反吹干燥气体加热</w:t>
            </w:r>
          </w:p>
          <w:p w14:paraId="2BA95473">
            <w:pPr>
              <w:keepNext w:val="0"/>
              <w:keepLines w:val="0"/>
              <w:widowControl/>
              <w:suppressLineNumbers w:val="0"/>
              <w:jc w:val="left"/>
              <w:textAlignment w:val="top"/>
              <w:rPr>
                <w:rFonts w:hint="eastAsia" w:ascii="宋体" w:hAnsi="宋体" w:cs="宋体"/>
                <w:color w:val="000000"/>
              </w:rPr>
            </w:pPr>
            <w:r>
              <w:rPr>
                <w:rFonts w:hint="eastAsia" w:ascii="宋体" w:hAnsi="宋体" w:cs="宋体"/>
                <w:color w:val="000000"/>
              </w:rPr>
              <w:t>2.1.2 捕集型离子淌度可以将单电荷离子与多电荷离子完全分离开，在复杂蛋白组学分析时，可以屏蔽单电荷的干扰，得到更高质量的 MS2谱图。</w:t>
            </w:r>
          </w:p>
          <w:p w14:paraId="1B89BA31">
            <w:pPr>
              <w:keepNext w:val="0"/>
              <w:keepLines w:val="0"/>
              <w:widowControl/>
              <w:suppressLineNumbers w:val="0"/>
              <w:jc w:val="left"/>
              <w:textAlignment w:val="top"/>
              <w:rPr>
                <w:rFonts w:hint="eastAsia" w:ascii="宋体" w:hAnsi="宋体" w:cs="宋体"/>
                <w:color w:val="000000"/>
              </w:rPr>
            </w:pPr>
            <w:r>
              <w:rPr>
                <w:rFonts w:hint="eastAsia" w:ascii="宋体" w:hAnsi="宋体" w:cs="宋体"/>
                <w:color w:val="000000"/>
              </w:rPr>
              <w:t>2.1.3 非轴线型的气体辅助喷雾，可承受流速高达1 mL/min</w:t>
            </w:r>
          </w:p>
          <w:p w14:paraId="1E741853">
            <w:pPr>
              <w:keepNext w:val="0"/>
              <w:keepLines w:val="0"/>
              <w:widowControl/>
              <w:suppressLineNumbers w:val="0"/>
              <w:jc w:val="left"/>
              <w:textAlignment w:val="top"/>
              <w:rPr>
                <w:rFonts w:hint="eastAsia" w:ascii="宋体" w:hAnsi="宋体" w:cs="宋体"/>
                <w:color w:val="000000"/>
              </w:rPr>
            </w:pPr>
            <w:r>
              <w:rPr>
                <w:rFonts w:hint="eastAsia" w:ascii="宋体" w:hAnsi="宋体" w:cs="宋体"/>
                <w:color w:val="000000"/>
              </w:rPr>
              <w:t>2.1.4 玻璃毛细管，起到将大气压与真空系统隔离和产生电压差的目的</w:t>
            </w:r>
          </w:p>
          <w:p w14:paraId="75E9399B">
            <w:pPr>
              <w:keepNext w:val="0"/>
              <w:keepLines w:val="0"/>
              <w:widowControl/>
              <w:suppressLineNumbers w:val="0"/>
              <w:jc w:val="left"/>
              <w:textAlignment w:val="top"/>
              <w:rPr>
                <w:rFonts w:hint="eastAsia" w:ascii="宋体" w:hAnsi="宋体" w:cs="宋体"/>
                <w:color w:val="000000"/>
              </w:rPr>
            </w:pPr>
            <w:r>
              <w:rPr>
                <w:rFonts w:hint="eastAsia" w:ascii="宋体" w:hAnsi="宋体" w:cs="宋体"/>
                <w:color w:val="000000"/>
              </w:rPr>
              <w:t>▲2.1.5 具备离子淌度功能，可测定CCS值，离子淌度分辨率≥100</w:t>
            </w:r>
          </w:p>
          <w:p w14:paraId="156C2E20">
            <w:pPr>
              <w:keepNext w:val="0"/>
              <w:keepLines w:val="0"/>
              <w:widowControl/>
              <w:suppressLineNumbers w:val="0"/>
              <w:jc w:val="left"/>
              <w:textAlignment w:val="top"/>
              <w:rPr>
                <w:rFonts w:hint="eastAsia" w:ascii="宋体" w:hAnsi="宋体" w:cs="宋体"/>
                <w:color w:val="000000"/>
              </w:rPr>
            </w:pPr>
            <w:r>
              <w:rPr>
                <w:rFonts w:hint="eastAsia" w:ascii="宋体" w:hAnsi="宋体" w:cs="宋体"/>
                <w:color w:val="000000"/>
              </w:rPr>
              <w:t>▲2.1.6 四极杆质量过滤器，质量范围20-3000m/z</w:t>
            </w:r>
          </w:p>
          <w:p w14:paraId="2EE2DDA7">
            <w:pPr>
              <w:keepNext w:val="0"/>
              <w:keepLines w:val="0"/>
              <w:widowControl/>
              <w:suppressLineNumbers w:val="0"/>
              <w:jc w:val="left"/>
              <w:textAlignment w:val="top"/>
              <w:rPr>
                <w:rFonts w:hint="eastAsia" w:ascii="宋体" w:hAnsi="宋体" w:cs="宋体"/>
                <w:color w:val="000000"/>
              </w:rPr>
            </w:pPr>
            <w:r>
              <w:rPr>
                <w:rFonts w:hint="eastAsia" w:ascii="宋体" w:hAnsi="宋体" w:cs="宋体"/>
                <w:color w:val="000000"/>
              </w:rPr>
              <w:t>2.1.7 离子淌度分辨率可调节，共三种不同的离子淌度分辨率模式可供选择</w:t>
            </w:r>
          </w:p>
          <w:p w14:paraId="1280C90E">
            <w:pPr>
              <w:keepNext w:val="0"/>
              <w:keepLines w:val="0"/>
              <w:widowControl/>
              <w:suppressLineNumbers w:val="0"/>
              <w:jc w:val="left"/>
              <w:textAlignment w:val="top"/>
              <w:rPr>
                <w:rFonts w:hint="eastAsia" w:ascii="宋体" w:hAnsi="宋体" w:cs="宋体"/>
                <w:color w:val="000000"/>
              </w:rPr>
            </w:pPr>
            <w:r>
              <w:rPr>
                <w:rFonts w:hint="eastAsia" w:ascii="宋体" w:hAnsi="宋体" w:cs="宋体"/>
                <w:color w:val="000000"/>
              </w:rPr>
              <w:t>2.1.8 进样口喷针部分电压为零，利于HPLC的联接，安全可靠。</w:t>
            </w:r>
          </w:p>
          <w:p w14:paraId="5C5506FA">
            <w:pPr>
              <w:keepNext w:val="0"/>
              <w:keepLines w:val="0"/>
              <w:widowControl/>
              <w:suppressLineNumbers w:val="0"/>
              <w:jc w:val="left"/>
              <w:textAlignment w:val="top"/>
              <w:rPr>
                <w:rFonts w:hint="eastAsia" w:ascii="宋体" w:hAnsi="宋体" w:cs="宋体"/>
                <w:color w:val="000000"/>
              </w:rPr>
            </w:pPr>
            <w:r>
              <w:rPr>
                <w:rFonts w:hint="eastAsia" w:ascii="宋体" w:hAnsi="宋体" w:cs="宋体"/>
                <w:color w:val="000000"/>
              </w:rPr>
              <w:t>2.1.9 飞行时间质量分析器采用单次反射模式。</w:t>
            </w:r>
          </w:p>
          <w:p w14:paraId="493C6395">
            <w:pPr>
              <w:keepNext w:val="0"/>
              <w:keepLines w:val="0"/>
              <w:widowControl/>
              <w:suppressLineNumbers w:val="0"/>
              <w:jc w:val="left"/>
              <w:textAlignment w:val="top"/>
              <w:rPr>
                <w:rFonts w:hint="eastAsia" w:ascii="宋体" w:hAnsi="宋体" w:cs="宋体"/>
                <w:color w:val="000000"/>
              </w:rPr>
            </w:pPr>
            <w:r>
              <w:rPr>
                <w:rFonts w:hint="eastAsia" w:ascii="宋体" w:hAnsi="宋体" w:cs="宋体"/>
                <w:color w:val="000000"/>
              </w:rPr>
              <w:t>2.1.10 可正负离子切换，且飞行管配有先进的水冷恒温温控装置。</w:t>
            </w:r>
          </w:p>
          <w:p w14:paraId="2713FB54">
            <w:pPr>
              <w:keepNext w:val="0"/>
              <w:keepLines w:val="0"/>
              <w:widowControl/>
              <w:suppressLineNumbers w:val="0"/>
              <w:jc w:val="left"/>
              <w:textAlignment w:val="top"/>
              <w:rPr>
                <w:rFonts w:hint="eastAsia" w:ascii="宋体" w:hAnsi="宋体" w:cs="宋体"/>
                <w:color w:val="000000"/>
              </w:rPr>
            </w:pPr>
            <w:r>
              <w:rPr>
                <w:rFonts w:hint="eastAsia" w:ascii="宋体" w:hAnsi="宋体" w:cs="宋体"/>
                <w:color w:val="000000"/>
              </w:rPr>
              <w:t xml:space="preserve">2.1.11 五级真空差动系统   </w:t>
            </w:r>
          </w:p>
          <w:p w14:paraId="7040DB07">
            <w:pPr>
              <w:keepNext w:val="0"/>
              <w:keepLines w:val="0"/>
              <w:widowControl/>
              <w:suppressLineNumbers w:val="0"/>
              <w:jc w:val="left"/>
              <w:textAlignment w:val="top"/>
              <w:rPr>
                <w:rFonts w:hint="eastAsia" w:ascii="宋体" w:hAnsi="宋体" w:cs="宋体"/>
                <w:color w:val="000000"/>
              </w:rPr>
            </w:pPr>
            <w:r>
              <w:rPr>
                <w:rFonts w:hint="eastAsia" w:ascii="宋体" w:hAnsi="宋体" w:cs="宋体"/>
                <w:color w:val="000000"/>
              </w:rPr>
              <w:t xml:space="preserve">2.1.12 TOF分辨率：采用V模式条件，在45 Hz扫描速度下，可以保证分辨率 ≥60000 。  </w:t>
            </w:r>
          </w:p>
          <w:p w14:paraId="7EDE1B6C">
            <w:pPr>
              <w:keepNext w:val="0"/>
              <w:keepLines w:val="0"/>
              <w:widowControl/>
              <w:suppressLineNumbers w:val="0"/>
              <w:jc w:val="left"/>
              <w:textAlignment w:val="top"/>
              <w:rPr>
                <w:rFonts w:hint="eastAsia" w:ascii="宋体" w:hAnsi="宋体" w:cs="宋体"/>
                <w:color w:val="000000"/>
              </w:rPr>
            </w:pPr>
            <w:r>
              <w:rPr>
                <w:rFonts w:hint="eastAsia" w:ascii="宋体" w:hAnsi="宋体" w:cs="宋体"/>
                <w:color w:val="000000"/>
              </w:rPr>
              <w:t>2.1.13 准确度：内标校准：平均误差 ≤ 0.8 ppm、外标校准：平均误差 ≤ 2 ppm</w:t>
            </w:r>
          </w:p>
          <w:p w14:paraId="76AE3FB6">
            <w:pPr>
              <w:keepNext w:val="0"/>
              <w:keepLines w:val="0"/>
              <w:widowControl/>
              <w:suppressLineNumbers w:val="0"/>
              <w:jc w:val="left"/>
              <w:textAlignment w:val="top"/>
              <w:rPr>
                <w:rFonts w:hint="eastAsia" w:ascii="宋体" w:hAnsi="宋体" w:cs="宋体"/>
                <w:color w:val="000000"/>
              </w:rPr>
            </w:pPr>
            <w:r>
              <w:rPr>
                <w:rFonts w:hint="eastAsia" w:ascii="宋体" w:hAnsi="宋体" w:cs="宋体"/>
                <w:color w:val="000000"/>
              </w:rPr>
              <w:t>2.1.14 不需要利用第二个喷雾器进行实时质量轴校正</w:t>
            </w:r>
          </w:p>
          <w:p w14:paraId="569E5F7F">
            <w:pPr>
              <w:keepNext w:val="0"/>
              <w:keepLines w:val="0"/>
              <w:widowControl/>
              <w:suppressLineNumbers w:val="0"/>
              <w:jc w:val="left"/>
              <w:textAlignment w:val="top"/>
              <w:rPr>
                <w:rFonts w:hint="eastAsia" w:ascii="宋体" w:hAnsi="宋体" w:cs="宋体"/>
                <w:color w:val="000000"/>
              </w:rPr>
            </w:pPr>
            <w:r>
              <w:rPr>
                <w:rFonts w:hint="eastAsia" w:ascii="宋体" w:hAnsi="宋体" w:cs="宋体"/>
                <w:color w:val="000000"/>
              </w:rPr>
              <w:t>2.1.15 同位素丰度真实值与理论值比率偏差(用TOF-MS Tuning Mix m/z=622、922、1522测试)：＜2%</w:t>
            </w:r>
          </w:p>
          <w:p w14:paraId="74066CC3">
            <w:pPr>
              <w:keepNext w:val="0"/>
              <w:keepLines w:val="0"/>
              <w:widowControl/>
              <w:suppressLineNumbers w:val="0"/>
              <w:jc w:val="left"/>
              <w:textAlignment w:val="top"/>
              <w:rPr>
                <w:rFonts w:hint="eastAsia" w:ascii="宋体" w:hAnsi="宋体" w:cs="宋体"/>
                <w:color w:val="000000"/>
              </w:rPr>
            </w:pPr>
            <w:r>
              <w:rPr>
                <w:rFonts w:hint="eastAsia" w:ascii="宋体" w:hAnsi="宋体" w:cs="宋体"/>
                <w:color w:val="000000"/>
              </w:rPr>
              <w:t>2.1.16 离子淌度准确度（内标校正）：≤ 0.5%</w:t>
            </w:r>
          </w:p>
          <w:p w14:paraId="2916C268">
            <w:pPr>
              <w:keepNext w:val="0"/>
              <w:keepLines w:val="0"/>
              <w:widowControl/>
              <w:suppressLineNumbers w:val="0"/>
              <w:jc w:val="left"/>
              <w:textAlignment w:val="top"/>
              <w:rPr>
                <w:rFonts w:hint="eastAsia" w:ascii="宋体" w:hAnsi="宋体" w:cs="宋体"/>
                <w:color w:val="000000"/>
              </w:rPr>
            </w:pPr>
            <w:r>
              <w:rPr>
                <w:rFonts w:hint="eastAsia" w:ascii="宋体" w:hAnsi="宋体" w:cs="宋体"/>
                <w:color w:val="000000"/>
              </w:rPr>
              <w:t>2.1.17 MS采样频率：≥ 50 Hz</w:t>
            </w:r>
          </w:p>
          <w:p w14:paraId="6A950F84">
            <w:pPr>
              <w:keepNext w:val="0"/>
              <w:keepLines w:val="0"/>
              <w:widowControl/>
              <w:suppressLineNumbers w:val="0"/>
              <w:jc w:val="left"/>
              <w:textAlignment w:val="top"/>
              <w:rPr>
                <w:rFonts w:hint="eastAsia" w:ascii="宋体" w:hAnsi="宋体" w:cs="宋体"/>
                <w:color w:val="000000"/>
              </w:rPr>
            </w:pPr>
            <w:r>
              <w:rPr>
                <w:rFonts w:hint="eastAsia" w:ascii="宋体" w:hAnsi="宋体" w:cs="宋体"/>
                <w:color w:val="000000"/>
              </w:rPr>
              <w:t>2.1.18 MS/MS采样频率：≥ 120 Hz</w:t>
            </w:r>
          </w:p>
          <w:p w14:paraId="42BD7D89">
            <w:pPr>
              <w:keepNext w:val="0"/>
              <w:keepLines w:val="0"/>
              <w:widowControl/>
              <w:suppressLineNumbers w:val="0"/>
              <w:jc w:val="left"/>
              <w:textAlignment w:val="top"/>
              <w:rPr>
                <w:rFonts w:hint="eastAsia" w:ascii="宋体" w:hAnsi="宋体" w:cs="宋体"/>
                <w:color w:val="000000"/>
              </w:rPr>
            </w:pPr>
            <w:r>
              <w:rPr>
                <w:rFonts w:hint="eastAsia" w:ascii="宋体" w:hAnsi="宋体" w:cs="宋体"/>
                <w:color w:val="000000"/>
              </w:rPr>
              <w:t xml:space="preserve">▲2.1.19 质量范围： 高达20,000 m/z，可由软件自动设定 </w:t>
            </w:r>
          </w:p>
          <w:p w14:paraId="2CF1A302">
            <w:pPr>
              <w:keepNext w:val="0"/>
              <w:keepLines w:val="0"/>
              <w:widowControl/>
              <w:suppressLineNumbers w:val="0"/>
              <w:jc w:val="left"/>
              <w:textAlignment w:val="top"/>
              <w:rPr>
                <w:rFonts w:hint="eastAsia" w:ascii="宋体" w:hAnsi="宋体" w:cs="宋体"/>
                <w:color w:val="000000"/>
              </w:rPr>
            </w:pPr>
            <w:r>
              <w:rPr>
                <w:rFonts w:hint="eastAsia" w:ascii="宋体" w:hAnsi="宋体" w:cs="宋体"/>
                <w:color w:val="000000"/>
              </w:rPr>
              <w:t>2.1.20采集模式：全4D-采集模式（dda-PASEF, dia-PASEF, prm-PASEF）</w:t>
            </w:r>
          </w:p>
          <w:p w14:paraId="3F024BB0">
            <w:pPr>
              <w:keepNext w:val="0"/>
              <w:keepLines w:val="0"/>
              <w:widowControl/>
              <w:suppressLineNumbers w:val="0"/>
              <w:jc w:val="left"/>
              <w:textAlignment w:val="top"/>
              <w:rPr>
                <w:rFonts w:hint="eastAsia" w:ascii="宋体" w:hAnsi="宋体" w:cs="宋体"/>
                <w:color w:val="000000"/>
              </w:rPr>
            </w:pPr>
            <w:r>
              <w:rPr>
                <w:rFonts w:hint="eastAsia" w:ascii="宋体" w:hAnsi="宋体" w:cs="宋体"/>
                <w:color w:val="000000"/>
              </w:rPr>
              <w:t xml:space="preserve">2.1.21灵敏度： </w:t>
            </w:r>
          </w:p>
          <w:p w14:paraId="78E5E1A7">
            <w:pPr>
              <w:keepNext w:val="0"/>
              <w:keepLines w:val="0"/>
              <w:widowControl/>
              <w:suppressLineNumbers w:val="0"/>
              <w:jc w:val="left"/>
              <w:textAlignment w:val="top"/>
              <w:rPr>
                <w:rFonts w:hint="eastAsia" w:ascii="宋体" w:hAnsi="宋体" w:cs="宋体"/>
                <w:color w:val="000000"/>
              </w:rPr>
            </w:pPr>
            <w:r>
              <w:rPr>
                <w:rFonts w:hint="eastAsia" w:ascii="宋体" w:hAnsi="宋体" w:cs="宋体"/>
                <w:color w:val="000000"/>
              </w:rPr>
              <w:t>MS：1pg/uL利血平（m/z 609），信噪比&gt;100: 1 RMS。</w:t>
            </w:r>
          </w:p>
          <w:p w14:paraId="10033121">
            <w:pPr>
              <w:keepNext w:val="0"/>
              <w:keepLines w:val="0"/>
              <w:widowControl/>
              <w:suppressLineNumbers w:val="0"/>
              <w:jc w:val="left"/>
              <w:textAlignment w:val="top"/>
              <w:rPr>
                <w:rFonts w:hint="eastAsia" w:ascii="宋体" w:hAnsi="宋体" w:cs="宋体"/>
                <w:color w:val="000000"/>
              </w:rPr>
            </w:pPr>
            <w:r>
              <w:rPr>
                <w:rFonts w:hint="eastAsia" w:ascii="宋体" w:hAnsi="宋体" w:cs="宋体"/>
                <w:color w:val="000000"/>
              </w:rPr>
              <w:t>MS/MS模式：消耗量为2.5fmol多肽Glu-Fibrinopeptide B时，二价离子的碎片离子y’中最强峰信噪比≥50:1。</w:t>
            </w:r>
          </w:p>
          <w:p w14:paraId="4BB8152F">
            <w:pPr>
              <w:keepNext w:val="0"/>
              <w:keepLines w:val="0"/>
              <w:widowControl/>
              <w:suppressLineNumbers w:val="0"/>
              <w:jc w:val="left"/>
              <w:textAlignment w:val="top"/>
              <w:rPr>
                <w:rFonts w:hint="eastAsia" w:ascii="宋体" w:hAnsi="宋体" w:cs="宋体"/>
                <w:color w:val="000000"/>
              </w:rPr>
            </w:pPr>
            <w:r>
              <w:rPr>
                <w:rFonts w:hint="eastAsia" w:ascii="宋体" w:hAnsi="宋体" w:cs="宋体"/>
                <w:color w:val="000000"/>
              </w:rPr>
              <w:t xml:space="preserve">2.2液相色谱仪技术规格 </w:t>
            </w:r>
          </w:p>
          <w:p w14:paraId="54A99765">
            <w:pPr>
              <w:keepNext w:val="0"/>
              <w:keepLines w:val="0"/>
              <w:widowControl/>
              <w:suppressLineNumbers w:val="0"/>
              <w:jc w:val="left"/>
              <w:textAlignment w:val="top"/>
              <w:rPr>
                <w:rFonts w:hint="eastAsia" w:ascii="宋体" w:hAnsi="宋体" w:cs="宋体"/>
                <w:color w:val="000000"/>
              </w:rPr>
            </w:pPr>
            <w:r>
              <w:rPr>
                <w:rFonts w:hint="eastAsia" w:ascii="宋体" w:hAnsi="宋体" w:cs="宋体"/>
                <w:color w:val="000000"/>
              </w:rPr>
              <w:t>2.2.1自动进样器</w:t>
            </w:r>
          </w:p>
          <w:p w14:paraId="6C656A31">
            <w:pPr>
              <w:keepNext w:val="0"/>
              <w:keepLines w:val="0"/>
              <w:widowControl/>
              <w:suppressLineNumbers w:val="0"/>
              <w:jc w:val="left"/>
              <w:textAlignment w:val="top"/>
              <w:rPr>
                <w:rFonts w:hint="eastAsia" w:ascii="宋体" w:hAnsi="宋体" w:cs="宋体"/>
                <w:color w:val="000000"/>
              </w:rPr>
            </w:pPr>
            <w:r>
              <w:rPr>
                <w:rFonts w:hint="eastAsia" w:ascii="宋体" w:hAnsi="宋体" w:cs="宋体"/>
                <w:color w:val="000000"/>
              </w:rPr>
              <w:t>定量环：20 μL</w:t>
            </w:r>
          </w:p>
          <w:p w14:paraId="51B391A1">
            <w:pPr>
              <w:keepNext w:val="0"/>
              <w:keepLines w:val="0"/>
              <w:widowControl/>
              <w:suppressLineNumbers w:val="0"/>
              <w:jc w:val="left"/>
              <w:textAlignment w:val="top"/>
              <w:rPr>
                <w:rFonts w:hint="eastAsia" w:ascii="宋体" w:hAnsi="宋体" w:cs="宋体"/>
                <w:color w:val="000000"/>
              </w:rPr>
            </w:pPr>
            <w:r>
              <w:rPr>
                <w:rFonts w:hint="eastAsia" w:ascii="宋体" w:hAnsi="宋体" w:cs="宋体"/>
                <w:color w:val="000000"/>
              </w:rPr>
              <w:t>进样范围：1 – 10 μL (部分进样)或 20 μL (满环进样)</w:t>
            </w:r>
          </w:p>
          <w:p w14:paraId="11FA6323">
            <w:pPr>
              <w:keepNext w:val="0"/>
              <w:keepLines w:val="0"/>
              <w:widowControl/>
              <w:suppressLineNumbers w:val="0"/>
              <w:jc w:val="left"/>
              <w:textAlignment w:val="top"/>
              <w:rPr>
                <w:rFonts w:hint="eastAsia" w:ascii="宋体" w:hAnsi="宋体" w:cs="宋体"/>
                <w:color w:val="000000"/>
              </w:rPr>
            </w:pPr>
            <w:r>
              <w:rPr>
                <w:rFonts w:hint="eastAsia" w:ascii="宋体" w:hAnsi="宋体" w:cs="宋体"/>
                <w:color w:val="000000"/>
              </w:rPr>
              <w:t>样品盘容量：2 个54 位进样盘或 96 孔板或384孔板。</w:t>
            </w:r>
          </w:p>
          <w:p w14:paraId="11912B32">
            <w:pPr>
              <w:keepNext w:val="0"/>
              <w:keepLines w:val="0"/>
              <w:widowControl/>
              <w:suppressLineNumbers w:val="0"/>
              <w:jc w:val="left"/>
              <w:textAlignment w:val="top"/>
              <w:rPr>
                <w:rFonts w:hint="eastAsia" w:ascii="宋体" w:hAnsi="宋体" w:cs="宋体"/>
                <w:color w:val="000000"/>
              </w:rPr>
            </w:pPr>
            <w:r>
              <w:rPr>
                <w:rFonts w:hint="eastAsia" w:ascii="宋体" w:hAnsi="宋体" w:cs="宋体"/>
                <w:color w:val="000000"/>
              </w:rPr>
              <w:t>样品盘控温范围：低于室温15℃</w:t>
            </w:r>
          </w:p>
          <w:p w14:paraId="2170BC56">
            <w:pPr>
              <w:keepNext w:val="0"/>
              <w:keepLines w:val="0"/>
              <w:widowControl/>
              <w:suppressLineNumbers w:val="0"/>
              <w:jc w:val="left"/>
              <w:textAlignment w:val="top"/>
              <w:rPr>
                <w:rFonts w:hint="eastAsia" w:ascii="宋体" w:hAnsi="宋体" w:cs="宋体"/>
                <w:color w:val="000000"/>
              </w:rPr>
            </w:pPr>
            <w:r>
              <w:rPr>
                <w:rFonts w:hint="eastAsia" w:ascii="宋体" w:hAnsi="宋体" w:cs="宋体"/>
                <w:color w:val="000000"/>
              </w:rPr>
              <w:t>2.2.2泵参数</w:t>
            </w:r>
          </w:p>
          <w:p w14:paraId="60FB0DB9">
            <w:pPr>
              <w:keepNext w:val="0"/>
              <w:keepLines w:val="0"/>
              <w:widowControl/>
              <w:suppressLineNumbers w:val="0"/>
              <w:jc w:val="left"/>
              <w:textAlignment w:val="top"/>
              <w:rPr>
                <w:rFonts w:hint="eastAsia" w:ascii="宋体" w:hAnsi="宋体" w:cs="宋体"/>
                <w:color w:val="000000"/>
              </w:rPr>
            </w:pPr>
            <w:r>
              <w:rPr>
                <w:rFonts w:hint="eastAsia" w:ascii="宋体" w:hAnsi="宋体" w:cs="宋体"/>
                <w:color w:val="000000"/>
              </w:rPr>
              <w:t>泵：单动式注射泵</w:t>
            </w:r>
          </w:p>
          <w:p w14:paraId="622CF099">
            <w:pPr>
              <w:keepNext w:val="0"/>
              <w:keepLines w:val="0"/>
              <w:widowControl/>
              <w:suppressLineNumbers w:val="0"/>
              <w:jc w:val="left"/>
              <w:textAlignment w:val="top"/>
              <w:rPr>
                <w:rFonts w:hint="eastAsia" w:ascii="宋体" w:hAnsi="宋体" w:cs="宋体"/>
                <w:color w:val="000000"/>
              </w:rPr>
            </w:pPr>
            <w:r>
              <w:rPr>
                <w:rFonts w:hint="eastAsia" w:ascii="宋体" w:hAnsi="宋体" w:cs="宋体"/>
                <w:color w:val="000000"/>
              </w:rPr>
              <w:t>流速：50 – 2000 nL/min</w:t>
            </w:r>
          </w:p>
          <w:p w14:paraId="41D16431">
            <w:pPr>
              <w:keepNext w:val="0"/>
              <w:keepLines w:val="0"/>
              <w:widowControl/>
              <w:suppressLineNumbers w:val="0"/>
              <w:jc w:val="left"/>
              <w:textAlignment w:val="top"/>
              <w:rPr>
                <w:rFonts w:hint="eastAsia" w:ascii="宋体" w:hAnsi="宋体" w:cs="宋体"/>
                <w:color w:val="000000"/>
              </w:rPr>
            </w:pPr>
            <w:r>
              <w:rPr>
                <w:rFonts w:hint="eastAsia" w:ascii="宋体" w:hAnsi="宋体" w:cs="宋体"/>
                <w:color w:val="000000"/>
              </w:rPr>
              <w:t xml:space="preserve">样品上样方式：通过压力驱动上样   </w:t>
            </w:r>
          </w:p>
          <w:p w14:paraId="4E2B1264">
            <w:pPr>
              <w:keepNext w:val="0"/>
              <w:keepLines w:val="0"/>
              <w:widowControl/>
              <w:suppressLineNumbers w:val="0"/>
              <w:jc w:val="left"/>
              <w:textAlignment w:val="top"/>
              <w:rPr>
                <w:rFonts w:hint="eastAsia" w:ascii="宋体" w:hAnsi="宋体" w:cs="宋体"/>
                <w:color w:val="000000"/>
              </w:rPr>
            </w:pPr>
            <w:r>
              <w:rPr>
                <w:rFonts w:hint="eastAsia" w:ascii="宋体" w:hAnsi="宋体" w:cs="宋体"/>
                <w:color w:val="000000"/>
              </w:rPr>
              <w:t>上样泵流速（压力）：上样泵按照设定的压力进行上样，上样泵最大压力1000bar</w:t>
            </w:r>
          </w:p>
          <w:p w14:paraId="7FE04B9D">
            <w:pPr>
              <w:keepNext w:val="0"/>
              <w:keepLines w:val="0"/>
              <w:widowControl/>
              <w:suppressLineNumbers w:val="0"/>
              <w:jc w:val="left"/>
              <w:textAlignment w:val="top"/>
              <w:rPr>
                <w:rFonts w:hint="eastAsia" w:ascii="宋体" w:hAnsi="宋体" w:cs="宋体"/>
                <w:color w:val="000000"/>
              </w:rPr>
            </w:pPr>
            <w:r>
              <w:rPr>
                <w:rFonts w:hint="eastAsia" w:ascii="宋体" w:hAnsi="宋体" w:cs="宋体"/>
                <w:color w:val="000000"/>
              </w:rPr>
              <w:t>梯度延迟体积：&lt; 400 nL</w:t>
            </w:r>
          </w:p>
          <w:p w14:paraId="3FC69A07">
            <w:pPr>
              <w:keepNext w:val="0"/>
              <w:keepLines w:val="0"/>
              <w:widowControl/>
              <w:suppressLineNumbers w:val="0"/>
              <w:jc w:val="left"/>
              <w:textAlignment w:val="top"/>
              <w:rPr>
                <w:rFonts w:hint="eastAsia" w:ascii="宋体" w:hAnsi="宋体" w:cs="宋体"/>
                <w:color w:val="000000"/>
              </w:rPr>
            </w:pPr>
            <w:r>
              <w:rPr>
                <w:rFonts w:hint="eastAsia" w:ascii="宋体" w:hAnsi="宋体" w:cs="宋体"/>
                <w:color w:val="000000"/>
              </w:rPr>
              <w:t>压力上限：1000 bar</w:t>
            </w:r>
          </w:p>
          <w:p w14:paraId="7B24E304">
            <w:pPr>
              <w:keepNext w:val="0"/>
              <w:keepLines w:val="0"/>
              <w:widowControl/>
              <w:suppressLineNumbers w:val="0"/>
              <w:jc w:val="left"/>
              <w:textAlignment w:val="top"/>
              <w:rPr>
                <w:rFonts w:hint="eastAsia" w:ascii="宋体" w:hAnsi="宋体" w:cs="宋体"/>
                <w:color w:val="000000"/>
              </w:rPr>
            </w:pPr>
            <w:r>
              <w:rPr>
                <w:rFonts w:hint="eastAsia" w:ascii="宋体" w:hAnsi="宋体" w:cs="宋体"/>
                <w:color w:val="000000"/>
              </w:rPr>
              <w:t>2.2.3柱温箱</w:t>
            </w:r>
          </w:p>
          <w:p w14:paraId="61794BF0">
            <w:pPr>
              <w:keepNext w:val="0"/>
              <w:keepLines w:val="0"/>
              <w:widowControl/>
              <w:suppressLineNumbers w:val="0"/>
              <w:jc w:val="left"/>
              <w:textAlignment w:val="top"/>
              <w:rPr>
                <w:rFonts w:hint="eastAsia" w:ascii="宋体" w:hAnsi="宋体" w:cs="宋体"/>
                <w:color w:val="000000"/>
              </w:rPr>
            </w:pPr>
            <w:r>
              <w:rPr>
                <w:rFonts w:hint="eastAsia" w:ascii="宋体" w:hAnsi="宋体" w:cs="宋体"/>
                <w:color w:val="000000"/>
              </w:rPr>
              <w:t>柱温箱温度：25- 60℃</w:t>
            </w:r>
          </w:p>
          <w:p w14:paraId="7AF4DF93">
            <w:pPr>
              <w:keepNext w:val="0"/>
              <w:keepLines w:val="0"/>
              <w:widowControl/>
              <w:suppressLineNumbers w:val="0"/>
              <w:jc w:val="left"/>
              <w:textAlignment w:val="top"/>
              <w:rPr>
                <w:rFonts w:hint="eastAsia" w:ascii="宋体" w:hAnsi="宋体" w:cs="宋体"/>
                <w:color w:val="000000"/>
              </w:rPr>
            </w:pPr>
            <w:r>
              <w:rPr>
                <w:rFonts w:hint="eastAsia" w:ascii="宋体" w:hAnsi="宋体" w:cs="宋体"/>
                <w:color w:val="000000"/>
              </w:rPr>
              <w:t>柱温准确度：+/- 0.5°C</w:t>
            </w:r>
          </w:p>
          <w:p w14:paraId="51AD1CFD">
            <w:pPr>
              <w:keepNext w:val="0"/>
              <w:keepLines w:val="0"/>
              <w:widowControl/>
              <w:suppressLineNumbers w:val="0"/>
              <w:jc w:val="left"/>
              <w:textAlignment w:val="top"/>
              <w:rPr>
                <w:rFonts w:hint="eastAsia" w:ascii="宋体" w:hAnsi="宋体" w:cs="宋体"/>
                <w:color w:val="000000"/>
              </w:rPr>
            </w:pPr>
            <w:r>
              <w:rPr>
                <w:rFonts w:hint="eastAsia" w:ascii="宋体" w:hAnsi="宋体" w:cs="宋体"/>
                <w:color w:val="000000"/>
              </w:rPr>
              <w:t>2.3软件</w:t>
            </w:r>
          </w:p>
          <w:p w14:paraId="5AC35095">
            <w:pPr>
              <w:keepNext w:val="0"/>
              <w:keepLines w:val="0"/>
              <w:widowControl/>
              <w:suppressLineNumbers w:val="0"/>
              <w:jc w:val="left"/>
              <w:textAlignment w:val="top"/>
              <w:rPr>
                <w:rFonts w:hint="eastAsia" w:ascii="宋体" w:hAnsi="宋体" w:cs="宋体"/>
                <w:color w:val="000000"/>
              </w:rPr>
            </w:pPr>
            <w:r>
              <w:rPr>
                <w:rFonts w:hint="eastAsia" w:ascii="宋体" w:hAnsi="宋体" w:cs="宋体"/>
                <w:color w:val="000000"/>
              </w:rPr>
              <w:t>2.3.1 Compass 软件包，用于HPLC和timsTOF控制，数据采集和处理，以及数据分析。</w:t>
            </w:r>
          </w:p>
          <w:p w14:paraId="2E1FF930">
            <w:pPr>
              <w:keepNext w:val="0"/>
              <w:keepLines w:val="0"/>
              <w:widowControl/>
              <w:suppressLineNumbers w:val="0"/>
              <w:jc w:val="left"/>
              <w:textAlignment w:val="top"/>
              <w:rPr>
                <w:rFonts w:hint="eastAsia" w:ascii="宋体" w:hAnsi="宋体" w:cs="宋体"/>
                <w:color w:val="000000"/>
              </w:rPr>
            </w:pPr>
            <w:r>
              <w:rPr>
                <w:rFonts w:hint="eastAsia" w:ascii="宋体" w:hAnsi="宋体" w:cs="宋体"/>
                <w:color w:val="000000"/>
              </w:rPr>
              <w:t>2.3.2 ProteoScape 蛋白组学分析软件</w:t>
            </w:r>
          </w:p>
          <w:p w14:paraId="0E2FB59C">
            <w:pPr>
              <w:keepNext w:val="0"/>
              <w:keepLines w:val="0"/>
              <w:widowControl/>
              <w:suppressLineNumbers w:val="0"/>
              <w:jc w:val="left"/>
              <w:textAlignment w:val="top"/>
              <w:rPr>
                <w:rFonts w:hint="eastAsia" w:ascii="宋体" w:hAnsi="宋体" w:cs="宋体"/>
                <w:color w:val="000000"/>
              </w:rPr>
            </w:pPr>
            <w:r>
              <w:rPr>
                <w:rFonts w:hint="eastAsia" w:ascii="宋体" w:hAnsi="宋体" w:cs="宋体"/>
                <w:color w:val="000000"/>
              </w:rPr>
              <w:t>2.3.2.1软件是基于GPU的数据库检索平台，可与质谱数据采集电脑通讯进行实</w:t>
            </w:r>
          </w:p>
          <w:p w14:paraId="4D3A7461">
            <w:pPr>
              <w:keepNext w:val="0"/>
              <w:keepLines w:val="0"/>
              <w:widowControl/>
              <w:suppressLineNumbers w:val="0"/>
              <w:jc w:val="left"/>
              <w:textAlignment w:val="top"/>
              <w:rPr>
                <w:rFonts w:hint="eastAsia" w:ascii="宋体" w:hAnsi="宋体" w:cs="宋体"/>
                <w:color w:val="000000"/>
              </w:rPr>
            </w:pPr>
            <w:r>
              <w:rPr>
                <w:rFonts w:hint="eastAsia" w:ascii="宋体" w:hAnsi="宋体" w:cs="宋体"/>
                <w:color w:val="000000"/>
              </w:rPr>
              <w:t>时数据库检索，大幅提高数据检索速度；</w:t>
            </w:r>
          </w:p>
          <w:p w14:paraId="69DCA954">
            <w:pPr>
              <w:keepNext w:val="0"/>
              <w:keepLines w:val="0"/>
              <w:widowControl/>
              <w:suppressLineNumbers w:val="0"/>
              <w:jc w:val="left"/>
              <w:textAlignment w:val="top"/>
              <w:rPr>
                <w:rFonts w:hint="eastAsia" w:ascii="宋体" w:hAnsi="宋体" w:cs="宋体"/>
                <w:color w:val="000000"/>
              </w:rPr>
            </w:pPr>
            <w:r>
              <w:rPr>
                <w:rFonts w:hint="eastAsia" w:ascii="宋体" w:hAnsi="宋体" w:cs="宋体"/>
                <w:color w:val="000000"/>
              </w:rPr>
              <w:t>2.3.2.2可通过网络浏览器远程进行结果查看；</w:t>
            </w:r>
          </w:p>
          <w:p w14:paraId="296E08FD">
            <w:pPr>
              <w:keepNext w:val="0"/>
              <w:keepLines w:val="0"/>
              <w:widowControl/>
              <w:suppressLineNumbers w:val="0"/>
              <w:jc w:val="left"/>
              <w:textAlignment w:val="top"/>
              <w:rPr>
                <w:rFonts w:hint="eastAsia" w:ascii="宋体" w:hAnsi="宋体" w:cs="宋体"/>
                <w:color w:val="000000"/>
              </w:rPr>
            </w:pPr>
            <w:r>
              <w:rPr>
                <w:rFonts w:hint="eastAsia" w:ascii="宋体" w:hAnsi="宋体" w:cs="宋体"/>
                <w:color w:val="000000"/>
              </w:rPr>
              <w:t>2.3.2.3可预设QC或样本搜库结果可接受标准，智能决定样本序列表的运行与停止，以节省珍贵的样本与机时；</w:t>
            </w:r>
          </w:p>
          <w:p w14:paraId="21419C50">
            <w:pPr>
              <w:keepNext w:val="0"/>
              <w:keepLines w:val="0"/>
              <w:widowControl/>
              <w:suppressLineNumbers w:val="0"/>
              <w:jc w:val="left"/>
              <w:textAlignment w:val="top"/>
              <w:rPr>
                <w:rFonts w:hint="eastAsia" w:ascii="宋体" w:hAnsi="宋体" w:cs="宋体"/>
                <w:color w:val="000000"/>
              </w:rPr>
            </w:pPr>
            <w:r>
              <w:rPr>
                <w:rFonts w:hint="eastAsia" w:ascii="宋体" w:hAnsi="宋体" w:cs="宋体"/>
                <w:color w:val="000000"/>
              </w:rPr>
              <w:t>2.3.2.4支持timsTOF 系列质谱dda-PASEF和dia-PASEF采集模式下数据的蛋白</w:t>
            </w:r>
          </w:p>
          <w:p w14:paraId="1AB4FD2B">
            <w:pPr>
              <w:keepNext w:val="0"/>
              <w:keepLines w:val="0"/>
              <w:widowControl/>
              <w:suppressLineNumbers w:val="0"/>
              <w:jc w:val="left"/>
              <w:textAlignment w:val="top"/>
              <w:rPr>
                <w:rFonts w:hint="eastAsia" w:ascii="宋体" w:hAnsi="宋体" w:cs="宋体"/>
                <w:color w:val="000000"/>
              </w:rPr>
            </w:pPr>
            <w:r>
              <w:rPr>
                <w:rFonts w:hint="eastAsia" w:ascii="宋体" w:hAnsi="宋体" w:cs="宋体"/>
                <w:color w:val="000000"/>
              </w:rPr>
              <w:t>质定性定量和翻译后修饰分析；</w:t>
            </w:r>
          </w:p>
          <w:p w14:paraId="33F4E480">
            <w:pPr>
              <w:keepNext w:val="0"/>
              <w:keepLines w:val="0"/>
              <w:widowControl/>
              <w:suppressLineNumbers w:val="0"/>
              <w:jc w:val="left"/>
              <w:textAlignment w:val="top"/>
              <w:rPr>
                <w:rFonts w:hint="eastAsia" w:ascii="宋体" w:hAnsi="宋体" w:cs="宋体"/>
                <w:color w:val="000000"/>
              </w:rPr>
            </w:pPr>
            <w:r>
              <w:rPr>
                <w:rFonts w:hint="eastAsia" w:ascii="宋体" w:hAnsi="宋体" w:cs="宋体"/>
                <w:color w:val="000000"/>
              </w:rPr>
              <w:t>2.3.2.5软件包含TIMScore™ 功能将 CCS 测量值与软件预测值进行比较，通过</w:t>
            </w:r>
          </w:p>
          <w:p w14:paraId="59334C4F">
            <w:pPr>
              <w:keepNext w:val="0"/>
              <w:keepLines w:val="0"/>
              <w:widowControl/>
              <w:suppressLineNumbers w:val="0"/>
              <w:jc w:val="left"/>
              <w:textAlignment w:val="top"/>
              <w:rPr>
                <w:rFonts w:hint="eastAsia" w:ascii="宋体" w:hAnsi="宋体" w:cs="宋体"/>
                <w:color w:val="000000"/>
              </w:rPr>
            </w:pPr>
            <w:r>
              <w:rPr>
                <w:rFonts w:hint="eastAsia" w:ascii="宋体" w:hAnsi="宋体" w:cs="宋体"/>
                <w:color w:val="000000"/>
              </w:rPr>
              <w:t>引入 CCS 维度打分并进行谱图判定来提升多肽鉴定置信度；</w:t>
            </w:r>
          </w:p>
          <w:p w14:paraId="641AC895">
            <w:pPr>
              <w:keepNext w:val="0"/>
              <w:keepLines w:val="0"/>
              <w:widowControl/>
              <w:suppressLineNumbers w:val="0"/>
              <w:jc w:val="left"/>
              <w:textAlignment w:val="top"/>
              <w:rPr>
                <w:rFonts w:hint="eastAsia" w:ascii="宋体" w:hAnsi="宋体" w:cs="宋体"/>
                <w:color w:val="000000"/>
              </w:rPr>
            </w:pPr>
            <w:r>
              <w:rPr>
                <w:rFonts w:hint="eastAsia" w:ascii="宋体" w:hAnsi="宋体" w:cs="宋体"/>
                <w:color w:val="000000"/>
              </w:rPr>
              <w:t>2.3.2.6内嵌BPS Novor 模块可实现不依赖数据库的实时从头测序分析，适合肽</w:t>
            </w:r>
          </w:p>
          <w:p w14:paraId="753BBC97">
            <w:pPr>
              <w:keepNext w:val="0"/>
              <w:keepLines w:val="0"/>
              <w:widowControl/>
              <w:suppressLineNumbers w:val="0"/>
              <w:jc w:val="left"/>
              <w:textAlignment w:val="top"/>
              <w:rPr>
                <w:rFonts w:hint="eastAsia" w:ascii="宋体" w:hAnsi="宋体" w:cs="宋体"/>
                <w:color w:val="000000"/>
              </w:rPr>
            </w:pPr>
            <w:r>
              <w:rPr>
                <w:rFonts w:hint="eastAsia" w:ascii="宋体" w:hAnsi="宋体" w:cs="宋体"/>
                <w:color w:val="000000"/>
              </w:rPr>
              <w:t>组学、免疫肽组学、宏蛋白组学等应用场景分析。</w:t>
            </w:r>
          </w:p>
          <w:p w14:paraId="28C6432D">
            <w:pPr>
              <w:keepNext w:val="0"/>
              <w:keepLines w:val="0"/>
              <w:widowControl/>
              <w:suppressLineNumbers w:val="0"/>
              <w:jc w:val="left"/>
              <w:textAlignment w:val="top"/>
              <w:rPr>
                <w:rFonts w:hint="eastAsia" w:ascii="宋体" w:hAnsi="宋体" w:cs="宋体"/>
                <w:color w:val="000000"/>
              </w:rPr>
            </w:pPr>
            <w:r>
              <w:rPr>
                <w:rFonts w:hint="eastAsia" w:ascii="宋体" w:hAnsi="宋体" w:cs="宋体"/>
                <w:color w:val="000000"/>
              </w:rPr>
              <w:t>3.配置要求</w:t>
            </w:r>
          </w:p>
          <w:p w14:paraId="237F0EBE">
            <w:pPr>
              <w:keepNext w:val="0"/>
              <w:keepLines w:val="0"/>
              <w:widowControl/>
              <w:suppressLineNumbers w:val="0"/>
              <w:jc w:val="left"/>
              <w:textAlignment w:val="top"/>
              <w:rPr>
                <w:rFonts w:hint="eastAsia" w:ascii="宋体" w:hAnsi="宋体" w:cs="宋体"/>
                <w:color w:val="000000"/>
              </w:rPr>
            </w:pPr>
            <w:r>
              <w:rPr>
                <w:rFonts w:hint="eastAsia" w:ascii="宋体" w:hAnsi="宋体" w:cs="宋体"/>
                <w:color w:val="000000"/>
              </w:rPr>
              <w:t xml:space="preserve">3.1高分辨离子淌度质谱仪主机1套 </w:t>
            </w:r>
          </w:p>
          <w:p w14:paraId="1EB47145">
            <w:pPr>
              <w:keepNext w:val="0"/>
              <w:keepLines w:val="0"/>
              <w:widowControl/>
              <w:suppressLineNumbers w:val="0"/>
              <w:jc w:val="left"/>
              <w:textAlignment w:val="top"/>
              <w:rPr>
                <w:rFonts w:hint="eastAsia" w:ascii="宋体" w:hAnsi="宋体" w:cs="宋体"/>
                <w:color w:val="000000"/>
              </w:rPr>
            </w:pPr>
            <w:r>
              <w:rPr>
                <w:rFonts w:hint="eastAsia" w:ascii="宋体" w:hAnsi="宋体" w:cs="宋体"/>
                <w:color w:val="000000"/>
              </w:rPr>
              <w:t>3.2纳升液相色谱1台</w:t>
            </w:r>
          </w:p>
          <w:p w14:paraId="6150D670">
            <w:pPr>
              <w:keepNext w:val="0"/>
              <w:keepLines w:val="0"/>
              <w:widowControl/>
              <w:suppressLineNumbers w:val="0"/>
              <w:jc w:val="left"/>
              <w:textAlignment w:val="top"/>
              <w:rPr>
                <w:rFonts w:hint="eastAsia" w:ascii="宋体" w:hAnsi="宋体" w:cs="宋体"/>
                <w:color w:val="000000"/>
              </w:rPr>
            </w:pPr>
            <w:r>
              <w:rPr>
                <w:rFonts w:hint="eastAsia" w:ascii="宋体" w:hAnsi="宋体" w:cs="宋体"/>
                <w:color w:val="000000"/>
              </w:rPr>
              <w:t>3.3蛋白组学分析软件1套</w:t>
            </w:r>
          </w:p>
          <w:p w14:paraId="24068D18">
            <w:pPr>
              <w:keepNext w:val="0"/>
              <w:keepLines w:val="0"/>
              <w:widowControl/>
              <w:suppressLineNumbers w:val="0"/>
              <w:jc w:val="left"/>
              <w:textAlignment w:val="top"/>
              <w:rPr>
                <w:rFonts w:hint="eastAsia" w:ascii="宋体" w:hAnsi="宋体" w:cs="宋体"/>
                <w:color w:val="000000"/>
              </w:rPr>
            </w:pPr>
            <w:r>
              <w:rPr>
                <w:rFonts w:hint="eastAsia" w:ascii="宋体" w:hAnsi="宋体" w:cs="宋体"/>
                <w:color w:val="000000"/>
              </w:rPr>
              <w:t>3.4不间断电源 1套</w:t>
            </w:r>
          </w:p>
          <w:p w14:paraId="6BF78BF9">
            <w:pPr>
              <w:keepNext w:val="0"/>
              <w:keepLines w:val="0"/>
              <w:widowControl/>
              <w:suppressLineNumbers w:val="0"/>
              <w:jc w:val="left"/>
              <w:textAlignment w:val="top"/>
              <w:rPr>
                <w:rFonts w:ascii="宋体" w:hAnsi="宋体" w:cs="宋体"/>
                <w:color w:val="000000"/>
              </w:rPr>
            </w:pPr>
            <w:r>
              <w:rPr>
                <w:rFonts w:hint="eastAsia" w:ascii="宋体" w:hAnsi="宋体" w:cs="宋体"/>
                <w:color w:val="000000"/>
              </w:rPr>
              <w:t>3.5氮气发生器 1套                                                                                                                                                                                                     若投标人选择进口产品参与投标，投标文件中必须提供生产厂家或代理商针对本项目的授权委托书及售后服务承诺书原件。</w:t>
            </w:r>
          </w:p>
        </w:tc>
        <w:tc>
          <w:tcPr>
            <w:tcW w:w="313" w:type="pct"/>
            <w:noWrap w:val="0"/>
            <w:vAlign w:val="center"/>
          </w:tcPr>
          <w:p w14:paraId="223FF689">
            <w:pPr>
              <w:keepNext w:val="0"/>
              <w:keepLines w:val="0"/>
              <w:widowControl/>
              <w:suppressLineNumbers w:val="0"/>
              <w:jc w:val="left"/>
              <w:textAlignment w:val="center"/>
              <w:rPr>
                <w:rFonts w:hint="default" w:ascii="宋体" w:hAnsi="宋体" w:cs="宋体" w:eastAsiaTheme="minorEastAsia"/>
                <w:color w:val="000000"/>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313" w:type="pct"/>
            <w:noWrap w:val="0"/>
            <w:vAlign w:val="center"/>
          </w:tcPr>
          <w:p w14:paraId="661A2F1E">
            <w:pPr>
              <w:keepNext w:val="0"/>
              <w:keepLines w:val="0"/>
              <w:widowControl/>
              <w:suppressLineNumbers w:val="0"/>
              <w:jc w:val="left"/>
              <w:textAlignment w:val="center"/>
              <w:rPr>
                <w:rFonts w:hint="eastAsia" w:ascii="宋体" w:hAnsi="宋体" w:cs="宋体" w:eastAsiaTheme="minorEastAsia"/>
                <w:color w:val="000000"/>
                <w:kern w:val="0"/>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01" w:type="pct"/>
            <w:noWrap w:val="0"/>
            <w:vAlign w:val="center"/>
          </w:tcPr>
          <w:p w14:paraId="2C123C7D">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7,300,000.00</w:t>
            </w:r>
          </w:p>
        </w:tc>
        <w:tc>
          <w:tcPr>
            <w:tcW w:w="539" w:type="pct"/>
            <w:noWrap w:val="0"/>
            <w:vAlign w:val="center"/>
          </w:tcPr>
          <w:p w14:paraId="4624523A">
            <w:pPr>
              <w:keepNext w:val="0"/>
              <w:keepLines w:val="0"/>
              <w:widowControl/>
              <w:suppressLineNumbers w:val="0"/>
              <w:jc w:val="left"/>
              <w:textAlignment w:val="center"/>
              <w:rPr>
                <w:rFonts w:hint="default" w:ascii="宋体" w:hAnsi="宋体" w:cs="宋体"/>
                <w:color w:val="000000"/>
                <w:kern w:val="0"/>
                <w:lang w:val="en-US" w:bidi="zh-CN"/>
              </w:rPr>
            </w:pPr>
            <w:r>
              <w:rPr>
                <w:rFonts w:hint="eastAsia" w:ascii="宋体" w:hAnsi="宋体" w:eastAsia="宋体" w:cs="宋体"/>
                <w:i w:val="0"/>
                <w:iCs w:val="0"/>
                <w:color w:val="000000"/>
                <w:kern w:val="0"/>
                <w:sz w:val="20"/>
                <w:szCs w:val="20"/>
                <w:u w:val="none"/>
                <w:lang w:val="en-US" w:eastAsia="zh-CN" w:bidi="ar"/>
              </w:rPr>
              <w:t>7,300,000.00</w:t>
            </w:r>
          </w:p>
        </w:tc>
      </w:tr>
      <w:bookmarkEnd w:id="0"/>
      <w:bookmarkEnd w:id="1"/>
      <w:bookmarkEnd w:id="2"/>
      <w:tr w14:paraId="3FB1B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331" w:type="pct"/>
            <w:gridSpan w:val="5"/>
            <w:noWrap w:val="0"/>
            <w:tcMar>
              <w:top w:w="13" w:type="dxa"/>
              <w:left w:w="57" w:type="dxa"/>
              <w:bottom w:w="0" w:type="dxa"/>
              <w:right w:w="57" w:type="dxa"/>
            </w:tcMar>
            <w:vAlign w:val="center"/>
          </w:tcPr>
          <w:p w14:paraId="72309B8A">
            <w:pPr>
              <w:widowControl/>
              <w:jc w:val="center"/>
              <w:textAlignment w:val="center"/>
              <w:rPr>
                <w:rFonts w:ascii="宋体" w:hAnsi="宋体" w:cs="宋体"/>
                <w:b/>
                <w:color w:val="000000"/>
                <w:kern w:val="0"/>
                <w:lang w:bidi="zh-CN"/>
              </w:rPr>
            </w:pPr>
            <w:r>
              <w:rPr>
                <w:rFonts w:hint="eastAsia" w:ascii="宋体" w:hAnsi="宋体" w:cs="宋体"/>
                <w:b/>
                <w:color w:val="000000"/>
                <w:kern w:val="0"/>
                <w:lang w:bidi="zh-CN"/>
              </w:rPr>
              <w:t>合计金额：（大写）人民币</w:t>
            </w:r>
            <w:r>
              <w:rPr>
                <w:rFonts w:ascii="宋体" w:hAnsi="宋体" w:cs="宋体"/>
                <w:b/>
                <w:color w:val="000000"/>
                <w:kern w:val="0"/>
                <w:u w:val="single"/>
                <w:lang w:bidi="zh-CN"/>
              </w:rPr>
              <w:t xml:space="preserve"> </w:t>
            </w:r>
            <w:r>
              <w:rPr>
                <w:rFonts w:hint="eastAsia" w:ascii="宋体" w:hAnsi="宋体" w:cs="宋体"/>
                <w:b/>
                <w:color w:val="000000"/>
                <w:kern w:val="0"/>
                <w:u w:val="single"/>
                <w:lang w:bidi="zh-CN"/>
              </w:rPr>
              <w:t>伍</w:t>
            </w:r>
            <w:r>
              <w:rPr>
                <w:rFonts w:hint="eastAsia" w:ascii="宋体" w:hAnsi="宋体" w:cs="宋体"/>
                <w:b/>
                <w:color w:val="000000"/>
                <w:kern w:val="0"/>
                <w:u w:val="single"/>
                <w:lang w:val="en-US" w:bidi="zh-CN"/>
              </w:rPr>
              <w:t>拾万</w:t>
            </w:r>
            <w:r>
              <w:rPr>
                <w:rFonts w:hint="eastAsia" w:ascii="宋体" w:hAnsi="宋体" w:cs="宋体"/>
                <w:b/>
                <w:color w:val="000000"/>
                <w:kern w:val="0"/>
                <w:lang w:bidi="zh-CN"/>
              </w:rPr>
              <w:t>元整</w:t>
            </w:r>
          </w:p>
        </w:tc>
        <w:tc>
          <w:tcPr>
            <w:tcW w:w="1668" w:type="pct"/>
            <w:gridSpan w:val="4"/>
            <w:noWrap w:val="0"/>
            <w:vAlign w:val="center"/>
          </w:tcPr>
          <w:p w14:paraId="02603391">
            <w:pPr>
              <w:widowControl/>
              <w:jc w:val="left"/>
              <w:textAlignment w:val="center"/>
              <w:rPr>
                <w:rFonts w:ascii="宋体" w:hAnsi="宋体" w:cs="宋体"/>
                <w:b/>
                <w:color w:val="000000"/>
                <w:kern w:val="0"/>
                <w:lang w:bidi="zh-CN"/>
              </w:rPr>
            </w:pPr>
            <w:r>
              <w:rPr>
                <w:rFonts w:hint="eastAsia" w:ascii="宋体" w:hAnsi="宋体" w:cs="宋体"/>
                <w:b/>
                <w:color w:val="000000"/>
                <w:kern w:val="0"/>
                <w:lang w:bidi="zh-CN"/>
              </w:rPr>
              <w:t>（小写）¥</w:t>
            </w:r>
            <w:r>
              <w:rPr>
                <w:rFonts w:hint="eastAsia" w:ascii="宋体" w:hAnsi="宋体" w:cs="宋体"/>
                <w:b/>
                <w:color w:val="000000"/>
                <w:kern w:val="0"/>
                <w:u w:val="single"/>
                <w:lang w:val="en-US" w:bidi="zh-CN"/>
              </w:rPr>
              <w:t>7,300,000.00</w:t>
            </w:r>
            <w:r>
              <w:rPr>
                <w:rFonts w:ascii="宋体" w:hAnsi="宋体" w:cs="宋体"/>
                <w:b/>
                <w:color w:val="000000"/>
                <w:kern w:val="0"/>
                <w:u w:val="single"/>
                <w:lang w:bidi="zh-CN"/>
              </w:rPr>
              <w:t xml:space="preserve">  </w:t>
            </w:r>
          </w:p>
        </w:tc>
      </w:tr>
      <w:tr w14:paraId="2C34B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000" w:type="pct"/>
            <w:gridSpan w:val="9"/>
            <w:noWrap w:val="0"/>
            <w:tcMar>
              <w:top w:w="13" w:type="dxa"/>
              <w:left w:w="57" w:type="dxa"/>
              <w:bottom w:w="0" w:type="dxa"/>
              <w:right w:w="57" w:type="dxa"/>
            </w:tcMar>
            <w:vAlign w:val="center"/>
          </w:tcPr>
          <w:p w14:paraId="19530EC5">
            <w:pPr>
              <w:widowControl/>
              <w:jc w:val="left"/>
              <w:textAlignment w:val="center"/>
              <w:rPr>
                <w:rFonts w:ascii="宋体" w:hAnsi="宋体" w:cs="宋体"/>
                <w:b/>
                <w:color w:val="000000"/>
                <w:kern w:val="0"/>
                <w:lang w:bidi="zh-CN"/>
              </w:rPr>
            </w:pPr>
            <w:r>
              <w:rPr>
                <w:rFonts w:hint="eastAsia" w:ascii="宋体" w:hAnsi="宋体"/>
                <w:b/>
                <w:bCs/>
                <w:color w:val="000000"/>
              </w:rPr>
              <w:t>二、商务要求</w:t>
            </w:r>
          </w:p>
        </w:tc>
      </w:tr>
      <w:tr w14:paraId="79216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606" w:type="pct"/>
            <w:gridSpan w:val="2"/>
            <w:noWrap w:val="0"/>
            <w:tcMar>
              <w:top w:w="13" w:type="dxa"/>
              <w:left w:w="57" w:type="dxa"/>
              <w:bottom w:w="0" w:type="dxa"/>
              <w:right w:w="57" w:type="dxa"/>
            </w:tcMar>
            <w:vAlign w:val="center"/>
          </w:tcPr>
          <w:p w14:paraId="7A322C96">
            <w:pPr>
              <w:jc w:val="center"/>
              <w:rPr>
                <w:rFonts w:ascii="宋体" w:hAnsi="宋体" w:cs="宋体"/>
                <w:b/>
                <w:bCs/>
              </w:rPr>
            </w:pPr>
            <w:r>
              <w:rPr>
                <w:rFonts w:hint="eastAsia" w:ascii="宋体" w:hAnsi="宋体" w:cs="宋体"/>
                <w:b/>
                <w:bCs/>
              </w:rPr>
              <w:t>报价说明</w:t>
            </w:r>
          </w:p>
        </w:tc>
        <w:tc>
          <w:tcPr>
            <w:tcW w:w="4393" w:type="pct"/>
            <w:gridSpan w:val="7"/>
            <w:noWrap w:val="0"/>
            <w:tcMar>
              <w:top w:w="13" w:type="dxa"/>
              <w:left w:w="57" w:type="dxa"/>
              <w:bottom w:w="0" w:type="dxa"/>
              <w:right w:w="57" w:type="dxa"/>
            </w:tcMar>
            <w:vAlign w:val="center"/>
          </w:tcPr>
          <w:p w14:paraId="28D57560">
            <w:pPr>
              <w:rPr>
                <w:rFonts w:ascii="宋体" w:hAnsi="宋体" w:cs="宋体"/>
              </w:rPr>
            </w:pPr>
            <w:r>
              <w:rPr>
                <w:rFonts w:hint="eastAsia" w:ascii="宋体" w:hAnsi="宋体" w:cs="宋体"/>
              </w:rPr>
              <w:t>报</w:t>
            </w:r>
            <w:r>
              <w:rPr>
                <w:rFonts w:ascii="宋体" w:hAnsi="宋体" w:cs="宋体"/>
              </w:rPr>
              <w:t>价为采购人指定地点的现场</w:t>
            </w:r>
            <w:r>
              <w:rPr>
                <w:rFonts w:hint="eastAsia" w:ascii="宋体" w:hAnsi="宋体" w:cs="宋体"/>
              </w:rPr>
              <w:t>交付价格</w:t>
            </w:r>
            <w:r>
              <w:rPr>
                <w:rFonts w:ascii="宋体" w:hAnsi="宋体" w:cs="宋体"/>
              </w:rPr>
              <w:t>，包括但不限于：</w:t>
            </w:r>
          </w:p>
          <w:p w14:paraId="3ACFD6ED">
            <w:pPr>
              <w:rPr>
                <w:rFonts w:ascii="宋体" w:hAnsi="宋体" w:cs="宋体"/>
              </w:rPr>
            </w:pPr>
            <w:r>
              <w:rPr>
                <w:rFonts w:ascii="宋体" w:hAnsi="宋体" w:cs="宋体"/>
              </w:rPr>
              <w:t>1）</w:t>
            </w:r>
            <w:r>
              <w:rPr>
                <w:rFonts w:hint="eastAsia" w:ascii="宋体" w:hAnsi="宋体" w:cs="宋体"/>
              </w:rPr>
              <w:t>采购内容中所有</w:t>
            </w:r>
            <w:r>
              <w:rPr>
                <w:rFonts w:ascii="宋体" w:hAnsi="宋体" w:cs="宋体"/>
              </w:rPr>
              <w:t>货物</w:t>
            </w:r>
            <w:r>
              <w:rPr>
                <w:rFonts w:hint="eastAsia" w:ascii="宋体" w:hAnsi="宋体" w:cs="宋体"/>
              </w:rPr>
              <w:t>和</w:t>
            </w:r>
            <w:r>
              <w:rPr>
                <w:rFonts w:ascii="宋体" w:hAnsi="宋体" w:cs="宋体"/>
              </w:rPr>
              <w:t>服务的价格；</w:t>
            </w:r>
          </w:p>
          <w:p w14:paraId="020E3E98">
            <w:pPr>
              <w:rPr>
                <w:rFonts w:ascii="宋体" w:hAnsi="宋体" w:cs="宋体"/>
              </w:rPr>
            </w:pPr>
            <w:r>
              <w:rPr>
                <w:rFonts w:ascii="宋体" w:hAnsi="宋体" w:cs="宋体"/>
              </w:rPr>
              <w:t>2）货物的标准附件、备品备件、专用工具的价格；</w:t>
            </w:r>
          </w:p>
          <w:p w14:paraId="4E108498">
            <w:pPr>
              <w:rPr>
                <w:rFonts w:ascii="宋体" w:hAnsi="宋体" w:cs="宋体"/>
              </w:rPr>
            </w:pPr>
            <w:r>
              <w:rPr>
                <w:rFonts w:ascii="宋体" w:hAnsi="宋体" w:cs="宋体"/>
              </w:rPr>
              <w:t>3）运输、装卸、</w:t>
            </w:r>
            <w:r>
              <w:rPr>
                <w:rFonts w:hint="eastAsia" w:ascii="宋体" w:hAnsi="宋体" w:cs="宋体"/>
              </w:rPr>
              <w:t>安装（含安装材料）、</w:t>
            </w:r>
            <w:r>
              <w:rPr>
                <w:rFonts w:ascii="宋体" w:hAnsi="宋体" w:cs="宋体"/>
              </w:rPr>
              <w:t>调试、培训、技术支持、售后服务</w:t>
            </w:r>
            <w:r>
              <w:rPr>
                <w:rFonts w:hint="eastAsia" w:ascii="宋体" w:hAnsi="宋体" w:cs="宋体"/>
              </w:rPr>
              <w:t>的费用，</w:t>
            </w:r>
            <w:r>
              <w:rPr>
                <w:rFonts w:ascii="宋体" w:hAnsi="宋体" w:cs="宋体"/>
              </w:rPr>
              <w:t>质保期内免费</w:t>
            </w:r>
            <w:r>
              <w:rPr>
                <w:rFonts w:hint="eastAsia" w:ascii="宋体" w:hAnsi="宋体" w:cs="宋体"/>
              </w:rPr>
              <w:t>维修、养</w:t>
            </w:r>
            <w:r>
              <w:rPr>
                <w:rFonts w:ascii="宋体" w:hAnsi="宋体" w:cs="宋体"/>
              </w:rPr>
              <w:t>护</w:t>
            </w:r>
            <w:r>
              <w:rPr>
                <w:rFonts w:hint="eastAsia" w:ascii="宋体" w:hAnsi="宋体" w:cs="宋体"/>
              </w:rPr>
              <w:t>、软件升级</w:t>
            </w:r>
            <w:r>
              <w:rPr>
                <w:rFonts w:ascii="宋体" w:hAnsi="宋体" w:cs="宋体"/>
              </w:rPr>
              <w:t>等费用；</w:t>
            </w:r>
          </w:p>
          <w:p w14:paraId="0714E59E">
            <w:pPr>
              <w:rPr>
                <w:rFonts w:ascii="宋体" w:hAnsi="宋体" w:cs="宋体"/>
              </w:rPr>
            </w:pPr>
            <w:r>
              <w:rPr>
                <w:rFonts w:ascii="宋体" w:hAnsi="宋体" w:cs="宋体"/>
              </w:rPr>
              <w:t>4）必要的保险</w:t>
            </w:r>
            <w:r>
              <w:rPr>
                <w:rFonts w:hint="eastAsia" w:ascii="宋体" w:hAnsi="宋体" w:cs="宋体"/>
              </w:rPr>
              <w:t>、检测</w:t>
            </w:r>
            <w:r>
              <w:rPr>
                <w:rFonts w:ascii="宋体" w:hAnsi="宋体" w:cs="宋体"/>
              </w:rPr>
              <w:t>费用和各项税费</w:t>
            </w:r>
            <w:r>
              <w:rPr>
                <w:rFonts w:hint="eastAsia" w:ascii="宋体" w:hAnsi="宋体" w:cs="宋体"/>
              </w:rPr>
              <w:t>等。</w:t>
            </w:r>
          </w:p>
        </w:tc>
      </w:tr>
      <w:tr w14:paraId="172D7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606" w:type="pct"/>
            <w:gridSpan w:val="2"/>
            <w:noWrap w:val="0"/>
            <w:tcMar>
              <w:top w:w="13" w:type="dxa"/>
              <w:left w:w="57" w:type="dxa"/>
              <w:bottom w:w="0" w:type="dxa"/>
              <w:right w:w="57" w:type="dxa"/>
            </w:tcMar>
            <w:vAlign w:val="center"/>
          </w:tcPr>
          <w:p w14:paraId="0E97E648">
            <w:pPr>
              <w:jc w:val="center"/>
              <w:rPr>
                <w:rFonts w:ascii="宋体" w:hAnsi="宋体"/>
                <w:b/>
                <w:bCs/>
                <w:color w:val="000000"/>
              </w:rPr>
            </w:pPr>
            <w:r>
              <w:rPr>
                <w:rFonts w:hint="eastAsia" w:ascii="宋体" w:hAnsi="宋体" w:cs="宋体"/>
                <w:b/>
                <w:bCs/>
              </w:rPr>
              <w:t>质保期</w:t>
            </w:r>
          </w:p>
        </w:tc>
        <w:tc>
          <w:tcPr>
            <w:tcW w:w="4393" w:type="pct"/>
            <w:gridSpan w:val="7"/>
            <w:noWrap w:val="0"/>
            <w:tcMar>
              <w:top w:w="13" w:type="dxa"/>
              <w:left w:w="57" w:type="dxa"/>
              <w:bottom w:w="0" w:type="dxa"/>
              <w:right w:w="57" w:type="dxa"/>
            </w:tcMar>
            <w:vAlign w:val="center"/>
          </w:tcPr>
          <w:p w14:paraId="489DB936">
            <w:pPr>
              <w:rPr>
                <w:rFonts w:ascii="宋体" w:hAnsi="宋体" w:cs="宋体"/>
              </w:rPr>
            </w:pPr>
            <w:r>
              <w:rPr>
                <w:rFonts w:ascii="宋体" w:hAnsi="宋体" w:cs="宋体"/>
                <w:b/>
              </w:rPr>
              <w:t>1.</w:t>
            </w:r>
            <w:r>
              <w:rPr>
                <w:rFonts w:hint="eastAsia" w:ascii="宋体" w:hAnsi="宋体" w:cs="宋体"/>
                <w:b/>
              </w:rPr>
              <w:t>质保期：</w:t>
            </w:r>
            <w:r>
              <w:rPr>
                <w:rFonts w:hint="eastAsia" w:ascii="宋体" w:hAnsi="宋体" w:cs="宋体"/>
                <w:b/>
                <w:highlight w:val="none"/>
                <w:u w:val="single"/>
                <w:lang w:val="en-US" w:eastAsia="zh-CN"/>
              </w:rPr>
              <w:t>5</w:t>
            </w:r>
            <w:bookmarkStart w:id="3" w:name="_GoBack"/>
            <w:bookmarkEnd w:id="3"/>
            <w:r>
              <w:rPr>
                <w:rFonts w:hint="eastAsia" w:ascii="宋体" w:hAnsi="宋体" w:cs="宋体"/>
                <w:b/>
                <w:highlight w:val="none"/>
                <w:u w:val="single"/>
                <w:lang w:val="en-US" w:eastAsia="zh-CN"/>
              </w:rPr>
              <w:t>年</w:t>
            </w:r>
            <w:r>
              <w:rPr>
                <w:rFonts w:hint="eastAsia" w:ascii="宋体" w:hAnsi="宋体" w:cs="宋体"/>
                <w:b/>
              </w:rPr>
              <w:t>。</w:t>
            </w:r>
            <w:r>
              <w:rPr>
                <w:rFonts w:hint="eastAsia" w:ascii="宋体" w:hAnsi="宋体" w:cs="宋体"/>
              </w:rPr>
              <w:t>（分项货物服务要求中有特别注明的，按特别注明的执行）</w:t>
            </w:r>
          </w:p>
          <w:p w14:paraId="14C9F8EB">
            <w:pPr>
              <w:rPr>
                <w:rFonts w:ascii="宋体" w:hAnsi="宋体"/>
                <w:color w:val="000000"/>
              </w:rPr>
            </w:pPr>
            <w:r>
              <w:rPr>
                <w:rFonts w:hint="eastAsia" w:ascii="宋体" w:hAnsi="宋体" w:cs="宋体"/>
              </w:rPr>
              <w:t>2.所有货物服务</w:t>
            </w:r>
            <w:r>
              <w:rPr>
                <w:rFonts w:ascii="宋体" w:hAnsi="宋体" w:cs="宋体"/>
              </w:rPr>
              <w:t>按</w:t>
            </w:r>
            <w:r>
              <w:rPr>
                <w:rFonts w:hint="eastAsia" w:ascii="宋体" w:hAnsi="宋体" w:cs="宋体"/>
              </w:rPr>
              <w:t>国家</w:t>
            </w:r>
            <w:r>
              <w:rPr>
                <w:rFonts w:ascii="宋体" w:hAnsi="宋体" w:cs="宋体"/>
              </w:rPr>
              <w:t>“三包”</w:t>
            </w:r>
            <w:r>
              <w:rPr>
                <w:rFonts w:hint="eastAsia" w:ascii="宋体" w:hAnsi="宋体" w:cs="宋体"/>
              </w:rPr>
              <w:t>有关</w:t>
            </w:r>
            <w:r>
              <w:rPr>
                <w:rFonts w:ascii="宋体" w:hAnsi="宋体" w:cs="宋体"/>
              </w:rPr>
              <w:t>规定执行“三包”</w:t>
            </w:r>
            <w:r>
              <w:rPr>
                <w:rFonts w:hint="eastAsia" w:ascii="宋体" w:hAnsi="宋体" w:cs="宋体"/>
              </w:rPr>
              <w:t>。质保期自交付验收合格之日起计算，质保期内提供上门维修、更换和软件升级服务；质保期结束后，提供终身维护，并优惠提供相关零配件。</w:t>
            </w:r>
          </w:p>
        </w:tc>
      </w:tr>
      <w:tr w14:paraId="4A9D9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606" w:type="pct"/>
            <w:gridSpan w:val="2"/>
            <w:noWrap w:val="0"/>
            <w:tcMar>
              <w:top w:w="13" w:type="dxa"/>
              <w:left w:w="57" w:type="dxa"/>
              <w:bottom w:w="0" w:type="dxa"/>
              <w:right w:w="57" w:type="dxa"/>
            </w:tcMar>
            <w:vAlign w:val="center"/>
          </w:tcPr>
          <w:p w14:paraId="5A015A9E">
            <w:pPr>
              <w:jc w:val="center"/>
              <w:rPr>
                <w:rFonts w:ascii="宋体" w:hAnsi="宋体" w:cs="宋体"/>
                <w:b/>
                <w:bCs/>
              </w:rPr>
            </w:pPr>
            <w:r>
              <w:rPr>
                <w:rFonts w:hint="eastAsia" w:ascii="宋体" w:hAnsi="宋体" w:cs="宋体"/>
                <w:b/>
                <w:bCs/>
              </w:rPr>
              <w:t>产品及售后服务要求</w:t>
            </w:r>
          </w:p>
        </w:tc>
        <w:tc>
          <w:tcPr>
            <w:tcW w:w="4393" w:type="pct"/>
            <w:gridSpan w:val="7"/>
            <w:noWrap w:val="0"/>
            <w:tcMar>
              <w:top w:w="13" w:type="dxa"/>
              <w:left w:w="57" w:type="dxa"/>
              <w:bottom w:w="0" w:type="dxa"/>
              <w:right w:w="57" w:type="dxa"/>
            </w:tcMar>
            <w:vAlign w:val="center"/>
          </w:tcPr>
          <w:p w14:paraId="4ECA9000">
            <w:pPr>
              <w:rPr>
                <w:rFonts w:ascii="宋体" w:hAnsi="宋体" w:cs="宋体"/>
              </w:rPr>
            </w:pPr>
            <w:r>
              <w:rPr>
                <w:rFonts w:ascii="宋体" w:hAnsi="宋体" w:cs="宋体"/>
              </w:rPr>
              <w:t>1.</w:t>
            </w:r>
            <w:r>
              <w:rPr>
                <w:rFonts w:hint="eastAsia" w:ascii="宋体" w:hAnsi="宋体" w:cs="宋体"/>
              </w:rPr>
              <w:t>成交人</w:t>
            </w:r>
            <w:r>
              <w:rPr>
                <w:rFonts w:ascii="宋体" w:hAnsi="宋体" w:cs="宋体"/>
              </w:rPr>
              <w:t>交付的所有</w:t>
            </w:r>
            <w:r>
              <w:rPr>
                <w:rFonts w:hint="eastAsia" w:ascii="宋体" w:hAnsi="宋体" w:cs="宋体"/>
                <w:b/>
              </w:rPr>
              <w:t>货物</w:t>
            </w:r>
            <w:r>
              <w:rPr>
                <w:rFonts w:ascii="宋体" w:hAnsi="宋体" w:cs="宋体"/>
              </w:rPr>
              <w:t>必须是签订合同之日</w:t>
            </w:r>
            <w:r>
              <w:rPr>
                <w:rFonts w:ascii="宋体" w:hAnsi="宋体" w:cs="宋体"/>
                <w:b/>
              </w:rPr>
              <w:t>前</w:t>
            </w:r>
            <w:r>
              <w:rPr>
                <w:rFonts w:hint="eastAsia" w:ascii="宋体" w:hAnsi="宋体" w:cs="宋体"/>
                <w:b/>
                <w:u w:val="single"/>
              </w:rPr>
              <w:t xml:space="preserve"> 半年 </w:t>
            </w:r>
            <w:r>
              <w:rPr>
                <w:rFonts w:ascii="宋体" w:hAnsi="宋体" w:cs="宋体"/>
              </w:rPr>
              <w:t>内生产的产品</w:t>
            </w:r>
            <w:r>
              <w:rPr>
                <w:rFonts w:hint="eastAsia" w:ascii="宋体" w:hAnsi="宋体" w:cs="宋体"/>
              </w:rPr>
              <w:t>，</w:t>
            </w:r>
            <w:r>
              <w:rPr>
                <w:rFonts w:ascii="宋体" w:hAnsi="宋体" w:cs="宋体"/>
              </w:rPr>
              <w:t>。</w:t>
            </w:r>
          </w:p>
          <w:p w14:paraId="590849F5">
            <w:pPr>
              <w:rPr>
                <w:rFonts w:ascii="宋体" w:hAnsi="宋体" w:cs="宋体"/>
                <w:b/>
              </w:rPr>
            </w:pPr>
            <w:r>
              <w:rPr>
                <w:rFonts w:hint="eastAsia" w:ascii="宋体" w:hAnsi="宋体" w:cs="宋体"/>
              </w:rPr>
              <w:t>2</w:t>
            </w:r>
            <w:r>
              <w:rPr>
                <w:rFonts w:ascii="宋体" w:hAnsi="宋体" w:cs="宋体"/>
              </w:rPr>
              <w:t>.</w:t>
            </w:r>
            <w:r>
              <w:rPr>
                <w:rFonts w:hint="eastAsia" w:ascii="宋体" w:hAnsi="宋体" w:cs="宋体"/>
              </w:rPr>
              <w:t>送货至采购人指定地点，协助进行安装场地设计，完成安装和调试。所有安装应符合国家、行业相关标准及规范。</w:t>
            </w:r>
            <w:r>
              <w:rPr>
                <w:rFonts w:hint="eastAsia" w:ascii="宋体" w:hAnsi="宋体" w:cs="宋体"/>
                <w:b/>
              </w:rPr>
              <w:t>（所有货物仅接受现场交付，不接受邮递）</w:t>
            </w:r>
          </w:p>
          <w:p w14:paraId="6B9667BB">
            <w:pPr>
              <w:rPr>
                <w:rFonts w:ascii="宋体" w:hAnsi="宋体" w:cs="宋体"/>
              </w:rPr>
            </w:pPr>
            <w:r>
              <w:rPr>
                <w:rFonts w:ascii="宋体" w:hAnsi="宋体" w:cs="宋体"/>
              </w:rPr>
              <w:t>3.为采购</w:t>
            </w:r>
            <w:r>
              <w:rPr>
                <w:rFonts w:hint="eastAsia" w:ascii="宋体" w:hAnsi="宋体" w:cs="宋体"/>
              </w:rPr>
              <w:t>人</w:t>
            </w:r>
            <w:r>
              <w:rPr>
                <w:rFonts w:ascii="宋体" w:hAnsi="宋体" w:cs="宋体"/>
              </w:rPr>
              <w:t>提供</w:t>
            </w:r>
            <w:r>
              <w:rPr>
                <w:rFonts w:hint="eastAsia" w:ascii="宋体" w:hAnsi="宋体" w:cs="宋体"/>
              </w:rPr>
              <w:t>产品</w:t>
            </w:r>
            <w:r>
              <w:rPr>
                <w:rFonts w:ascii="宋体" w:hAnsi="宋体" w:cs="宋体"/>
              </w:rPr>
              <w:t>操作</w:t>
            </w:r>
            <w:r>
              <w:rPr>
                <w:rFonts w:hint="eastAsia" w:ascii="宋体" w:hAnsi="宋体" w:cs="宋体"/>
              </w:rPr>
              <w:t>、维修、日常养护等方面的</w:t>
            </w:r>
            <w:r>
              <w:rPr>
                <w:rFonts w:ascii="宋体" w:hAnsi="宋体" w:cs="宋体"/>
              </w:rPr>
              <w:t>培训，确保</w:t>
            </w:r>
            <w:r>
              <w:rPr>
                <w:rFonts w:hint="eastAsia" w:ascii="宋体" w:hAnsi="宋体" w:cs="宋体"/>
              </w:rPr>
              <w:t>采购方使用人员</w:t>
            </w:r>
            <w:r>
              <w:rPr>
                <w:rFonts w:ascii="宋体" w:hAnsi="宋体" w:cs="宋体"/>
              </w:rPr>
              <w:t>能独立操作使用</w:t>
            </w:r>
            <w:r>
              <w:rPr>
                <w:rFonts w:hint="eastAsia" w:ascii="宋体" w:hAnsi="宋体" w:cs="宋体"/>
              </w:rPr>
              <w:t>，</w:t>
            </w:r>
            <w:r>
              <w:rPr>
                <w:rFonts w:ascii="宋体" w:hAnsi="宋体" w:cs="宋体"/>
              </w:rPr>
              <w:t>培训人数</w:t>
            </w:r>
            <w:r>
              <w:rPr>
                <w:rFonts w:hint="eastAsia" w:ascii="宋体" w:hAnsi="宋体" w:cs="宋体"/>
              </w:rPr>
              <w:t>、时间、地点等</w:t>
            </w:r>
            <w:r>
              <w:rPr>
                <w:rFonts w:ascii="宋体" w:hAnsi="宋体" w:cs="宋体"/>
              </w:rPr>
              <w:t>由采购</w:t>
            </w:r>
            <w:r>
              <w:rPr>
                <w:rFonts w:hint="eastAsia" w:ascii="宋体" w:hAnsi="宋体" w:cs="宋体"/>
              </w:rPr>
              <w:t>人指定</w:t>
            </w:r>
            <w:r>
              <w:rPr>
                <w:rFonts w:ascii="宋体" w:hAnsi="宋体" w:cs="宋体"/>
              </w:rPr>
              <w:t>。</w:t>
            </w:r>
          </w:p>
          <w:p w14:paraId="4FDCA367">
            <w:pPr>
              <w:rPr>
                <w:rFonts w:ascii="宋体" w:hAnsi="宋体" w:cs="宋体"/>
              </w:rPr>
            </w:pPr>
            <w:r>
              <w:rPr>
                <w:rFonts w:ascii="宋体" w:hAnsi="宋体" w:cs="宋体"/>
              </w:rPr>
              <w:t>4.故障响应时间：在使用过程中</w:t>
            </w:r>
            <w:r>
              <w:rPr>
                <w:rFonts w:hint="eastAsia" w:ascii="宋体" w:hAnsi="宋体" w:cs="宋体"/>
              </w:rPr>
              <w:t>出现</w:t>
            </w:r>
            <w:r>
              <w:rPr>
                <w:rFonts w:ascii="宋体" w:hAnsi="宋体" w:cs="宋体"/>
              </w:rPr>
              <w:t>质量问题，</w:t>
            </w:r>
            <w:r>
              <w:rPr>
                <w:rFonts w:hint="eastAsia" w:ascii="宋体" w:hAnsi="宋体" w:cs="宋体"/>
              </w:rPr>
              <w:t>成交人</w:t>
            </w:r>
            <w:r>
              <w:rPr>
                <w:rFonts w:ascii="宋体" w:hAnsi="宋体" w:cs="宋体"/>
              </w:rPr>
              <w:t>在接到</w:t>
            </w:r>
            <w:r>
              <w:rPr>
                <w:rFonts w:hint="eastAsia" w:ascii="宋体" w:hAnsi="宋体" w:cs="宋体"/>
              </w:rPr>
              <w:t>采购人</w:t>
            </w:r>
            <w:r>
              <w:rPr>
                <w:rFonts w:ascii="宋体" w:hAnsi="宋体" w:cs="宋体"/>
              </w:rPr>
              <w:t>通知后1小时</w:t>
            </w:r>
            <w:r>
              <w:rPr>
                <w:rFonts w:hint="eastAsia" w:ascii="宋体" w:hAnsi="宋体" w:cs="宋体"/>
              </w:rPr>
              <w:t>作出</w:t>
            </w:r>
            <w:r>
              <w:rPr>
                <w:rFonts w:ascii="宋体" w:hAnsi="宋体" w:cs="宋体"/>
              </w:rPr>
              <w:t>响应</w:t>
            </w:r>
            <w:r>
              <w:rPr>
                <w:rFonts w:hint="eastAsia" w:ascii="宋体" w:hAnsi="宋体" w:cs="宋体"/>
              </w:rPr>
              <w:t>；如需到达现场解决的，在</w:t>
            </w:r>
            <w:r>
              <w:rPr>
                <w:rFonts w:ascii="宋体" w:hAnsi="宋体" w:cs="宋体"/>
              </w:rPr>
              <w:t>8小时内</w:t>
            </w:r>
            <w:r>
              <w:rPr>
                <w:rFonts w:hint="eastAsia" w:ascii="宋体" w:hAnsi="宋体" w:cs="宋体"/>
              </w:rPr>
              <w:t>应</w:t>
            </w:r>
            <w:r>
              <w:rPr>
                <w:rFonts w:ascii="宋体" w:hAnsi="宋体" w:cs="宋体"/>
              </w:rPr>
              <w:t>到达现场。</w:t>
            </w:r>
          </w:p>
          <w:p w14:paraId="27CCD28C">
            <w:pPr>
              <w:rPr>
                <w:rFonts w:ascii="宋体" w:hAnsi="宋体" w:cs="宋体"/>
              </w:rPr>
            </w:pPr>
            <w:r>
              <w:rPr>
                <w:rFonts w:ascii="宋体" w:hAnsi="宋体" w:cs="宋体"/>
              </w:rPr>
              <w:t>5.</w:t>
            </w:r>
            <w:r>
              <w:rPr>
                <w:rFonts w:hint="eastAsia" w:ascii="宋体" w:hAnsi="宋体" w:cs="宋体"/>
              </w:rPr>
              <w:t>成交人须遵守校园出入规定，在供货、安装过程中确保相关人员安全。</w:t>
            </w:r>
            <w:r>
              <w:rPr>
                <w:rFonts w:ascii="宋体" w:hAnsi="宋体" w:cs="宋体"/>
              </w:rPr>
              <w:t>供货</w:t>
            </w:r>
            <w:r>
              <w:rPr>
                <w:rFonts w:hint="eastAsia" w:ascii="宋体" w:hAnsi="宋体" w:cs="宋体"/>
              </w:rPr>
              <w:t>、</w:t>
            </w:r>
            <w:r>
              <w:rPr>
                <w:rFonts w:ascii="宋体" w:hAnsi="宋体" w:cs="宋体"/>
              </w:rPr>
              <w:t>安装过程中产生的残留物或垃圾，</w:t>
            </w:r>
            <w:r>
              <w:rPr>
                <w:rFonts w:hint="eastAsia" w:ascii="宋体" w:hAnsi="宋体" w:cs="宋体"/>
              </w:rPr>
              <w:t>成交人需</w:t>
            </w:r>
            <w:r>
              <w:rPr>
                <w:rFonts w:ascii="宋体" w:hAnsi="宋体" w:cs="宋体"/>
              </w:rPr>
              <w:t>自行清理至校外。</w:t>
            </w:r>
          </w:p>
        </w:tc>
      </w:tr>
      <w:tr w14:paraId="13078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606" w:type="pct"/>
            <w:gridSpan w:val="2"/>
            <w:noWrap w:val="0"/>
            <w:tcMar>
              <w:top w:w="13" w:type="dxa"/>
              <w:left w:w="57" w:type="dxa"/>
              <w:bottom w:w="0" w:type="dxa"/>
              <w:right w:w="57" w:type="dxa"/>
            </w:tcMar>
            <w:vAlign w:val="center"/>
          </w:tcPr>
          <w:p w14:paraId="76D4E804">
            <w:pPr>
              <w:jc w:val="center"/>
              <w:rPr>
                <w:rFonts w:ascii="宋体" w:hAnsi="宋体"/>
                <w:b/>
                <w:bCs/>
                <w:color w:val="000000"/>
              </w:rPr>
            </w:pPr>
            <w:r>
              <w:rPr>
                <w:rFonts w:hint="eastAsia" w:ascii="宋体" w:hAnsi="宋体" w:cs="宋体"/>
                <w:b/>
                <w:bCs/>
              </w:rPr>
              <w:t>交付时间</w:t>
            </w:r>
          </w:p>
        </w:tc>
        <w:tc>
          <w:tcPr>
            <w:tcW w:w="4393" w:type="pct"/>
            <w:gridSpan w:val="7"/>
            <w:noWrap w:val="0"/>
            <w:tcMar>
              <w:top w:w="13" w:type="dxa"/>
              <w:left w:w="57" w:type="dxa"/>
              <w:bottom w:w="0" w:type="dxa"/>
              <w:right w:w="57" w:type="dxa"/>
            </w:tcMar>
            <w:vAlign w:val="center"/>
          </w:tcPr>
          <w:p w14:paraId="7B72BEAF">
            <w:pPr>
              <w:rPr>
                <w:rFonts w:ascii="宋体" w:hAnsi="宋体" w:cs="宋体"/>
                <w:spacing w:val="-2"/>
              </w:rPr>
            </w:pPr>
            <w:r>
              <w:rPr>
                <w:rFonts w:ascii="宋体" w:hAnsi="宋体" w:cs="宋体"/>
                <w:spacing w:val="-2"/>
              </w:rPr>
              <w:t>1.交</w:t>
            </w:r>
            <w:r>
              <w:rPr>
                <w:rFonts w:hint="eastAsia" w:ascii="宋体" w:hAnsi="宋体" w:cs="宋体"/>
                <w:spacing w:val="-2"/>
              </w:rPr>
              <w:t>付</w:t>
            </w:r>
            <w:r>
              <w:rPr>
                <w:rFonts w:ascii="宋体" w:hAnsi="宋体" w:cs="宋体"/>
                <w:spacing w:val="-2"/>
              </w:rPr>
              <w:t>时间：自签订合同之日起</w:t>
            </w:r>
            <w:r>
              <w:rPr>
                <w:rFonts w:hint="eastAsia" w:ascii="宋体" w:hAnsi="宋体" w:cs="宋体"/>
                <w:b/>
                <w:spacing w:val="-2"/>
                <w:u w:val="single"/>
              </w:rPr>
              <w:t xml:space="preserve">    </w:t>
            </w:r>
            <w:r>
              <w:rPr>
                <w:rFonts w:hint="eastAsia" w:ascii="宋体" w:hAnsi="宋体" w:cs="宋体"/>
                <w:b/>
                <w:spacing w:val="-2"/>
                <w:u w:val="single"/>
                <w:lang w:val="en-US" w:eastAsia="zh-CN"/>
              </w:rPr>
              <w:t>3</w:t>
            </w:r>
            <w:r>
              <w:rPr>
                <w:rFonts w:hint="eastAsia" w:ascii="宋体" w:hAnsi="宋体" w:cs="宋体"/>
                <w:b/>
                <w:spacing w:val="-2"/>
                <w:u w:val="single"/>
              </w:rPr>
              <w:t xml:space="preserve">0日内   </w:t>
            </w:r>
            <w:r>
              <w:rPr>
                <w:rFonts w:hint="eastAsia" w:ascii="宋体" w:hAnsi="宋体" w:cs="宋体"/>
                <w:spacing w:val="-2"/>
              </w:rPr>
              <w:t>全部交付完成并验收合格。</w:t>
            </w:r>
          </w:p>
          <w:p w14:paraId="076CC482">
            <w:pPr>
              <w:rPr>
                <w:rFonts w:ascii="宋体" w:hAnsi="宋体"/>
                <w:color w:val="000000"/>
              </w:rPr>
            </w:pPr>
            <w:r>
              <w:rPr>
                <w:rFonts w:ascii="宋体" w:hAnsi="宋体" w:cs="宋体"/>
              </w:rPr>
              <w:t>2.交</w:t>
            </w:r>
            <w:r>
              <w:rPr>
                <w:rFonts w:hint="eastAsia" w:ascii="宋体" w:hAnsi="宋体" w:cs="宋体"/>
              </w:rPr>
              <w:t>付</w:t>
            </w:r>
            <w:r>
              <w:rPr>
                <w:rFonts w:ascii="宋体" w:hAnsi="宋体" w:cs="宋体"/>
              </w:rPr>
              <w:t>地点：广西</w:t>
            </w:r>
            <w:r>
              <w:rPr>
                <w:rFonts w:hint="eastAsia" w:ascii="宋体" w:hAnsi="宋体" w:cs="宋体"/>
                <w:lang w:val="en-US" w:eastAsia="zh-CN"/>
              </w:rPr>
              <w:t>中医药</w:t>
            </w:r>
            <w:r>
              <w:rPr>
                <w:rFonts w:hint="eastAsia" w:ascii="宋体" w:hAnsi="宋体" w:cs="宋体"/>
              </w:rPr>
              <w:t>大学</w:t>
            </w:r>
            <w:r>
              <w:rPr>
                <w:rFonts w:ascii="宋体" w:hAnsi="宋体" w:cs="宋体"/>
              </w:rPr>
              <w:t>。</w:t>
            </w:r>
          </w:p>
        </w:tc>
      </w:tr>
      <w:tr w14:paraId="211F2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5000" w:type="pct"/>
            <w:gridSpan w:val="9"/>
            <w:noWrap w:val="0"/>
            <w:tcMar>
              <w:top w:w="13" w:type="dxa"/>
              <w:left w:w="57" w:type="dxa"/>
              <w:bottom w:w="0" w:type="dxa"/>
              <w:right w:w="57" w:type="dxa"/>
            </w:tcMar>
            <w:vAlign w:val="center"/>
          </w:tcPr>
          <w:p w14:paraId="5E83248E">
            <w:pPr>
              <w:rPr>
                <w:rFonts w:ascii="宋体" w:hAnsi="宋体" w:cs="宋体"/>
              </w:rPr>
            </w:pPr>
            <w:r>
              <w:rPr>
                <w:rFonts w:hint="eastAsia" w:ascii="宋体" w:hAnsi="宋体"/>
                <w:b/>
                <w:bCs/>
                <w:color w:val="000000"/>
              </w:rPr>
              <w:t>三、其它要求</w:t>
            </w:r>
          </w:p>
        </w:tc>
      </w:tr>
      <w:tr w14:paraId="6FC1E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5000" w:type="pct"/>
            <w:gridSpan w:val="9"/>
            <w:noWrap w:val="0"/>
            <w:tcMar>
              <w:top w:w="13" w:type="dxa"/>
              <w:left w:w="57" w:type="dxa"/>
              <w:bottom w:w="0" w:type="dxa"/>
              <w:right w:w="57" w:type="dxa"/>
            </w:tcMar>
            <w:vAlign w:val="center"/>
          </w:tcPr>
          <w:p w14:paraId="562D8478">
            <w:pPr>
              <w:rPr>
                <w:rFonts w:ascii="宋体" w:hAnsi="宋体" w:cs="宋体"/>
              </w:rPr>
            </w:pPr>
            <w:r>
              <w:rPr>
                <w:rFonts w:hint="eastAsia" w:ascii="宋体" w:hAnsi="宋体" w:cs="宋体"/>
                <w:color w:val="FF0000"/>
              </w:rPr>
              <w:t>（填写其他补充事项）</w:t>
            </w:r>
          </w:p>
        </w:tc>
      </w:tr>
    </w:tbl>
    <w:p w14:paraId="21ACB7AD">
      <w:pPr>
        <w:rPr>
          <w:rFonts w:ascii="宋体" w:hAnsi="宋体" w:cs="仿宋"/>
          <w:bCs/>
          <w:color w:val="000000"/>
        </w:rPr>
      </w:pPr>
      <w:r>
        <w:rPr>
          <w:rFonts w:hint="eastAsia" w:ascii="宋体" w:hAnsi="宋体" w:cs="仿宋"/>
          <w:color w:val="000000"/>
          <w:sz w:val="18"/>
        </w:rPr>
        <w:t>注：所有价格均用人民币表示，单位为元，精确到小数点后两位。</w:t>
      </w:r>
    </w:p>
    <w:p w14:paraId="5E27CFD2">
      <w:pPr>
        <w:spacing w:line="460" w:lineRule="exact"/>
        <w:rPr>
          <w:rFonts w:ascii="宋体" w:hAnsi="宋体" w:cs="仿宋"/>
          <w:bCs/>
          <w:color w:val="000000"/>
        </w:rPr>
      </w:pPr>
    </w:p>
    <w:p w14:paraId="01860F63">
      <w:pPr>
        <w:spacing w:line="360" w:lineRule="auto"/>
        <w:ind w:left="10" w:leftChars="5" w:firstLine="554" w:firstLineChars="198"/>
        <w:rPr>
          <w:rFonts w:ascii="宋体" w:hAnsi="宋体" w:cs="宋体"/>
          <w:sz w:val="28"/>
          <w:szCs w:val="28"/>
        </w:rPr>
      </w:pPr>
      <w:r>
        <w:rPr>
          <w:rFonts w:hint="eastAsia" w:ascii="宋体" w:hAnsi="宋体" w:cs="宋体"/>
          <w:sz w:val="28"/>
          <w:szCs w:val="28"/>
        </w:rPr>
        <w:t>供应商全称：</w:t>
      </w:r>
      <w:r>
        <w:rPr>
          <w:rFonts w:hint="eastAsia" w:ascii="宋体" w:hAnsi="宋体" w:cs="宋体"/>
          <w:sz w:val="28"/>
          <w:szCs w:val="28"/>
          <w:u w:val="single"/>
        </w:rPr>
        <w:t xml:space="preserve">                         </w:t>
      </w:r>
      <w:r>
        <w:rPr>
          <w:rFonts w:hint="eastAsia" w:ascii="宋体" w:hAnsi="宋体" w:cs="宋体"/>
          <w:sz w:val="28"/>
          <w:szCs w:val="28"/>
        </w:rPr>
        <w:t>（公章）</w:t>
      </w:r>
    </w:p>
    <w:p w14:paraId="56DFAB6F">
      <w:pPr>
        <w:spacing w:line="360" w:lineRule="auto"/>
        <w:ind w:left="10" w:leftChars="5" w:firstLine="554" w:firstLineChars="198"/>
        <w:rPr>
          <w:rFonts w:ascii="宋体" w:hAnsi="宋体" w:cs="宋体"/>
          <w:sz w:val="28"/>
          <w:szCs w:val="28"/>
        </w:rPr>
      </w:pPr>
      <w:r>
        <w:rPr>
          <w:rFonts w:hint="eastAsia" w:ascii="宋体" w:hAnsi="宋体" w:cs="宋体"/>
          <w:sz w:val="28"/>
          <w:szCs w:val="28"/>
        </w:rPr>
        <w:t>法定代表人或委托代理人：</w:t>
      </w:r>
      <w:r>
        <w:rPr>
          <w:rFonts w:hint="eastAsia" w:ascii="宋体" w:hAnsi="宋体" w:cs="宋体"/>
          <w:sz w:val="28"/>
          <w:szCs w:val="28"/>
          <w:u w:val="single"/>
        </w:rPr>
        <w:t xml:space="preserve">             </w:t>
      </w:r>
      <w:r>
        <w:rPr>
          <w:rFonts w:hint="eastAsia" w:ascii="宋体" w:hAnsi="宋体" w:cs="宋体"/>
          <w:sz w:val="28"/>
          <w:szCs w:val="28"/>
        </w:rPr>
        <w:t>（签字或签章）</w:t>
      </w:r>
    </w:p>
    <w:p w14:paraId="6D916B5E">
      <w:pPr>
        <w:spacing w:line="360" w:lineRule="auto"/>
        <w:ind w:left="10" w:leftChars="5" w:firstLine="554" w:firstLineChars="198"/>
        <w:rPr>
          <w:rFonts w:ascii="宋体" w:hAnsi="宋体" w:cs="宋体"/>
          <w:sz w:val="28"/>
          <w:szCs w:val="28"/>
        </w:rPr>
      </w:pPr>
      <w:r>
        <w:rPr>
          <w:rFonts w:hint="eastAsia" w:ascii="宋体" w:hAnsi="宋体" w:cs="宋体"/>
          <w:sz w:val="28"/>
          <w:szCs w:val="28"/>
        </w:rPr>
        <w:t>供应商地址：</w:t>
      </w:r>
      <w:r>
        <w:rPr>
          <w:rFonts w:hint="eastAsia" w:ascii="宋体" w:hAnsi="宋体" w:cs="宋体"/>
          <w:sz w:val="28"/>
          <w:szCs w:val="28"/>
          <w:u w:val="single"/>
        </w:rPr>
        <w:tab/>
      </w:r>
      <w:r>
        <w:rPr>
          <w:rFonts w:hint="eastAsia" w:ascii="宋体" w:hAnsi="宋体" w:cs="宋体"/>
          <w:sz w:val="28"/>
          <w:szCs w:val="28"/>
          <w:u w:val="single"/>
        </w:rPr>
        <w:t xml:space="preserve">   </w:t>
      </w:r>
      <w:r>
        <w:rPr>
          <w:rFonts w:ascii="宋体" w:hAnsi="宋体" w:cs="宋体"/>
          <w:sz w:val="28"/>
          <w:szCs w:val="28"/>
          <w:u w:val="single"/>
        </w:rPr>
        <w:t xml:space="preserve">                    </w:t>
      </w:r>
    </w:p>
    <w:p w14:paraId="335B2FE3">
      <w:pPr>
        <w:spacing w:line="360" w:lineRule="auto"/>
        <w:ind w:left="10" w:leftChars="5" w:firstLine="554" w:firstLineChars="198"/>
        <w:rPr>
          <w:rFonts w:ascii="宋体" w:hAnsi="宋体" w:cs="宋体"/>
          <w:sz w:val="28"/>
          <w:szCs w:val="28"/>
        </w:rPr>
      </w:pPr>
      <w:r>
        <w:rPr>
          <w:rFonts w:hint="eastAsia" w:ascii="宋体" w:hAnsi="宋体" w:cs="宋体"/>
          <w:sz w:val="28"/>
          <w:szCs w:val="28"/>
        </w:rPr>
        <w:t>供应商联系方式：</w:t>
      </w:r>
      <w:r>
        <w:rPr>
          <w:rFonts w:ascii="宋体" w:hAnsi="宋体" w:cs="宋体"/>
          <w:sz w:val="28"/>
          <w:szCs w:val="28"/>
          <w:u w:val="single"/>
        </w:rPr>
        <w:t xml:space="preserve">     </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rPr>
        <w:t>（联系人、联系电话）</w:t>
      </w:r>
    </w:p>
    <w:p w14:paraId="0395909A">
      <w:pPr>
        <w:spacing w:line="360" w:lineRule="auto"/>
        <w:rPr>
          <w:rFonts w:ascii="宋体" w:hAnsi="宋体" w:cs="宋体"/>
          <w:sz w:val="28"/>
          <w:szCs w:val="28"/>
        </w:rPr>
      </w:pPr>
    </w:p>
    <w:p w14:paraId="32932B66">
      <w:pPr>
        <w:spacing w:line="360" w:lineRule="auto"/>
        <w:ind w:left="10" w:leftChars="1" w:hanging="8" w:hangingChars="3"/>
        <w:jc w:val="center"/>
      </w:pPr>
      <w:r>
        <w:rPr>
          <w:rFonts w:hint="eastAsia" w:ascii="宋体" w:hAnsi="宋体" w:cs="宋体"/>
          <w:sz w:val="28"/>
          <w:szCs w:val="28"/>
        </w:rPr>
        <w:t>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14:paraId="2A60D885">
      <w:pPr>
        <w:pStyle w:val="2"/>
        <w:keepNext w:val="0"/>
        <w:keepLines w:val="0"/>
        <w:widowControl/>
        <w:suppressLineNumbers w:val="0"/>
        <w:spacing w:line="420" w:lineRule="atLeast"/>
        <w:jc w:val="left"/>
        <w:rPr>
          <w:rFonts w:hint="eastAsia" w:ascii="微软雅黑" w:hAnsi="微软雅黑" w:eastAsia="微软雅黑" w:cs="微软雅黑"/>
          <w:i w:val="0"/>
          <w:iCs w:val="0"/>
          <w:caps w:val="0"/>
          <w:color w:val="000000"/>
          <w:spacing w:val="0"/>
          <w:sz w:val="24"/>
          <w:szCs w:val="24"/>
        </w:rPr>
      </w:pPr>
    </w:p>
    <w:p w14:paraId="5E59CFA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EAA193"/>
    <w:multiLevelType w:val="singleLevel"/>
    <w:tmpl w:val="50EAA19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D65498"/>
    <w:rsid w:val="03420E7B"/>
    <w:rsid w:val="083A0C0C"/>
    <w:rsid w:val="09A1725A"/>
    <w:rsid w:val="13623FB2"/>
    <w:rsid w:val="221A36F4"/>
    <w:rsid w:val="25D65498"/>
    <w:rsid w:val="25F42B99"/>
    <w:rsid w:val="346858E8"/>
    <w:rsid w:val="36E235B7"/>
    <w:rsid w:val="3B6C16D9"/>
    <w:rsid w:val="486B3145"/>
    <w:rsid w:val="4F311AFC"/>
    <w:rsid w:val="65861AE8"/>
    <w:rsid w:val="6C2C4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Emphasis"/>
    <w:basedOn w:val="4"/>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2230</Words>
  <Characters>2788</Characters>
  <Lines>0</Lines>
  <Paragraphs>0</Paragraphs>
  <TotalTime>2</TotalTime>
  <ScaleCrop>false</ScaleCrop>
  <LinksUpToDate>false</LinksUpToDate>
  <CharactersWithSpaces>3211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2025-06-13T09:20:00Z</dcterms:created>
  <dc:creator>文军</dc:creator>
  <cp:lastModifiedBy>一次心</cp:lastModifiedBy>
  <dcterms:modified xsi:type="dcterms:W3CDTF">2026-03-09T13:38:57Z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87B5EEB113BC46FB97D3FC1E80A38779_13</vt:lpwstr>
  </property>
  <property fmtid="{D5CDD505-2E9C-101B-9397-08002B2CF9AE}" pid="4" name="KSOTemplateDocerSaveRecord">
    <vt:lpwstr>eyJoZGlkIjoiMjcxMDljNjJjYWRmNTRhNzE4ZWE5ZGY2ZDExY2EyOTEiLCJ1c2VySWQiOiI0Mjc1NTAxODIifQ==</vt:lpwstr>
  </property>
</Properties>
</file>