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5A4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    附件： </w:t>
      </w:r>
    </w:p>
    <w:p w14:paraId="1FD8185A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3"/>
        <w:tblpPr w:leftFromText="180" w:rightFromText="180" w:vertAnchor="text" w:horzAnchor="page" w:tblpXSpec="center" w:tblpY="469"/>
        <w:tblOverlap w:val="never"/>
        <w:tblW w:w="5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96"/>
        <w:gridCol w:w="345"/>
        <w:gridCol w:w="1290"/>
        <w:gridCol w:w="3064"/>
        <w:gridCol w:w="540"/>
        <w:gridCol w:w="540"/>
        <w:gridCol w:w="865"/>
        <w:gridCol w:w="931"/>
      </w:tblGrid>
      <w:tr w14:paraId="53E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758FD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2310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3265C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E5EFD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B1791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D71BA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313" w:type="pct"/>
            <w:noWrap w:val="0"/>
            <w:vAlign w:val="center"/>
          </w:tcPr>
          <w:p w14:paraId="76C6C11B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371418A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13" w:type="pct"/>
            <w:noWrap w:val="0"/>
            <w:vAlign w:val="center"/>
          </w:tcPr>
          <w:p w14:paraId="30B0098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501" w:type="pct"/>
            <w:noWrap w:val="0"/>
            <w:vAlign w:val="center"/>
          </w:tcPr>
          <w:p w14:paraId="0409E966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359650E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539" w:type="pct"/>
            <w:noWrap w:val="0"/>
            <w:vAlign w:val="center"/>
          </w:tcPr>
          <w:p w14:paraId="5B55DA05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49C0784D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3B69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221303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bookmarkStart w:id="0" w:name="OLE_LINK6" w:colFirst="1" w:colLast="69"/>
            <w:bookmarkStart w:id="1" w:name="_Hlk199951007"/>
            <w:bookmarkStart w:id="2" w:name="OLE_LINK5" w:colFirst="1" w:colLast="69"/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0B9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全光谱流式细胞分析系统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698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Bruke/tims TOF Pro2</w:t>
            </w:r>
          </w:p>
          <w:p w14:paraId="0A3143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Waters/Select Series Cyclic </w:t>
            </w:r>
          </w:p>
          <w:p w14:paraId="01D011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 Fisher/Orbitrap Exploris 240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0826E1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1. 流式主机参数： </w:t>
            </w:r>
          </w:p>
          <w:p w14:paraId="5B9E34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▲1.1配备≥五根固态激光器350±5nm(≥60mw)，405nm(≥200mw)，488nm(≥150mw)，561nm(≥150mw)，637±5nm(≥140mw)，不小于48个荧光探测器和≥2个散射光探测器。</w:t>
            </w:r>
          </w:p>
          <w:p w14:paraId="4AD9A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 光路：5激光立体空间激发方式，至少实现48色荧光同时分析。</w:t>
            </w:r>
          </w:p>
          <w:p w14:paraId="63937E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 电子系统类型：超低噪VPX电子系统，确保极低含量样本有效检出。</w:t>
            </w:r>
          </w:p>
          <w:p w14:paraId="6353C4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▲1.4检测器类型：配备高性能独立光电倍增管（Photomultiplier）检测器，完成对单激光器十四个甚至更多的光信号的收集，检测器配置可单独灵活更换，无需成套更换。</w:t>
            </w:r>
          </w:p>
          <w:p w14:paraId="40EAB3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▲1.5 光电倍增管电压（非增益）可调范围：1-999V，以保证检测灵敏度和稳定性，及微弱荧光和高强荧光可同时分析。（需提供佐证材料包括不限于制造商印制的彩页、具有检测资质的机构出具的检测报告等）。</w:t>
            </w:r>
          </w:p>
          <w:p w14:paraId="044E99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1.6 分辨率：PI标记鸡红细胞核，G0/G1期全峰宽CV&lt;3%。</w:t>
            </w:r>
          </w:p>
          <w:p w14:paraId="383500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1.7 荧光检测灵敏度：FITC≤80MESF，PE≤20MESF，APC≤70MESF。</w:t>
            </w:r>
          </w:p>
          <w:p w14:paraId="718C4F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1.8 样本获取速度：≥40,000个细胞/秒。</w:t>
            </w:r>
          </w:p>
          <w:p w14:paraId="2154B2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1.9 检测颗粒大小： 0.5-50um 。</w:t>
            </w:r>
          </w:p>
          <w:p w14:paraId="0FB4BF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1.10进样针自动清洗系统：换样时自动清洗进样针内的残余样本，避免样本之间的交叉污染，交叉污染率&lt;0.5%。</w:t>
            </w:r>
          </w:p>
          <w:p w14:paraId="7C6952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▲1.11同时搭载补偿算法和光谱算法：机器软件具备多色荧光补偿功能和自动光谱解析功能，并能同时实时切换。</w:t>
            </w:r>
          </w:p>
          <w:p w14:paraId="1A25F6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▲1.12液流动力：液流由气压泵驱动正压上样方式，非蠕动泵或注射泵方式，无需更换管路，液路稳定。</w:t>
            </w:r>
          </w:p>
          <w:p w14:paraId="72D4F0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1.13液流模式：高速、中速、低速、高灵敏度模式。</w:t>
            </w:r>
          </w:p>
          <w:p w14:paraId="24CC6F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1.14配备独立的≥10L鞘液桶及≥10L废液桶。</w:t>
            </w:r>
          </w:p>
          <w:p w14:paraId="58CFB9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1.15石英流动室：内部横截面积为 ≥430 x 180 µm，外表面有抗反射涂层，可实现最佳激光传输。</w:t>
            </w:r>
          </w:p>
          <w:p w14:paraId="388349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1.16上样管类型：标准流式管上样。</w:t>
            </w:r>
          </w:p>
          <w:p w14:paraId="142308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2.数据分析。</w:t>
            </w:r>
          </w:p>
          <w:p w14:paraId="2604B1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2.1高维多参数光谱细胞分析系统仪工作站、数据采集及分析软件。</w:t>
            </w:r>
          </w:p>
          <w:p w14:paraId="0B57CC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2.2使用全数字信号系统，用户界面直观易掌握，将仪器设置、质量控制、数据分析和管理均置于软件控制之下，具备自动延迟时间校准功能。</w:t>
            </w:r>
          </w:p>
          <w:p w14:paraId="773018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2.3软件可独立控制每个激光器开启关闭及调整激光器功率。</w:t>
            </w:r>
          </w:p>
          <w:p w14:paraId="51F76E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2.4软件能以任意参数或任意参数的逻辑运算作为阈值设定条件，有效的排除杂信号，无效信号的干扰。</w:t>
            </w:r>
          </w:p>
          <w:p w14:paraId="125547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2.5软件具备多用户模式，保护研究者数据私密性。</w:t>
            </w:r>
          </w:p>
          <w:p w14:paraId="4E1D2E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2.6软件采用多层级数据管理模式，方便不同实验室数据管理。</w:t>
            </w:r>
          </w:p>
          <w:p w14:paraId="6AA1E3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2.7软件可设置网格，方便调整流式图形大小及位置的一致性。</w:t>
            </w:r>
          </w:p>
          <w:p w14:paraId="77DCDA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2.8软件同时具备手动设门工具和自动设门工具。</w:t>
            </w:r>
          </w:p>
          <w:p w14:paraId="4C8591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2.9脉冲处理系统:能同时分析脉冲信号峰值高度、脉冲积分（面积）及脉冲宽度,用脉冲宽度和面积区分双连体细胞（如假四倍体细胞）。</w:t>
            </w:r>
          </w:p>
          <w:p w14:paraId="142127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2.10用户可利用散点图，密度图，等高线图，柱状图分析数据，图像可以任意放大缩小，不同文件的图像可以叠加在一起。</w:t>
            </w:r>
          </w:p>
          <w:p w14:paraId="715FB8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2.11准确报告仪器性能基线，仪器性能追踪（20点质控图），自动调整电压、激光参数，提高仪器设置的精确性，保证不同时间检测数据的一致性。保证数据的精确性，有效保证仪器的状态，及实验的时间连续性和室间稳定性，不同时间实验的重复性、可比性。</w:t>
            </w:r>
          </w:p>
          <w:p w14:paraId="5ADD93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3.配备数据处理用电脑（主流品牌机）：配置不低于：≥34英寸显示屏；处理器 Intel core i7或更高；内存：≥16GB；硬盘：≥1TB数据存储空间；Windows操作系统。                                                                                                                        4.细胞分析系统：提供机器，试剂耗材及分析软件全套解决方案，用户可以定制化靶向检测Panel；从样本到文库，整个实验流程可在两天内完成。</w:t>
            </w:r>
          </w:p>
          <w:p w14:paraId="6BF78B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3" w:type="pct"/>
            <w:noWrap w:val="0"/>
            <w:vAlign w:val="center"/>
          </w:tcPr>
          <w:p w14:paraId="223F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3" w:type="pct"/>
            <w:noWrap w:val="0"/>
            <w:vAlign w:val="center"/>
          </w:tcPr>
          <w:p w14:paraId="661A2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pct"/>
            <w:noWrap w:val="0"/>
            <w:vAlign w:val="center"/>
          </w:tcPr>
          <w:p w14:paraId="2C12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6,800,000.00</w:t>
            </w:r>
          </w:p>
        </w:tc>
        <w:tc>
          <w:tcPr>
            <w:tcW w:w="539" w:type="pct"/>
            <w:noWrap w:val="0"/>
            <w:vAlign w:val="center"/>
          </w:tcPr>
          <w:p w14:paraId="46245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6,800,000.00</w:t>
            </w:r>
          </w:p>
        </w:tc>
      </w:tr>
      <w:bookmarkEnd w:id="0"/>
      <w:bookmarkEnd w:id="1"/>
      <w:bookmarkEnd w:id="2"/>
      <w:tr w14:paraId="3FB1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1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09B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bidi="zh-CN"/>
              </w:rPr>
              <w:t>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拾万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1668" w:type="pct"/>
            <w:gridSpan w:val="4"/>
            <w:noWrap w:val="0"/>
            <w:vAlign w:val="center"/>
          </w:tcPr>
          <w:p w14:paraId="026033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6,800,000.00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</w:t>
            </w:r>
          </w:p>
        </w:tc>
      </w:tr>
      <w:tr w14:paraId="2C3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530E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792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322C9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D5756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3ACFD6E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20E3E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4E1084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714E59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72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97E6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9DB93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5</w:t>
            </w:r>
            <w:bookmarkStart w:id="3" w:name="_GoBack"/>
            <w:bookmarkEnd w:id="3"/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</w:rPr>
              <w:t>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4C9F8E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4A9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015A9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A9000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590849F5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</w:rPr>
              <w:t>（所有货物仅接受现场交付，不接受邮递）</w:t>
            </w:r>
          </w:p>
          <w:p w14:paraId="6B9667BB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4FDCA36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27CCD28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130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D4E80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2BEAF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0日内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076CC48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211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83248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6FC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2D847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21ACB7AD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5E27CFD2">
      <w:pPr>
        <w:spacing w:line="460" w:lineRule="exact"/>
        <w:rPr>
          <w:rFonts w:ascii="宋体" w:hAnsi="宋体" w:cs="仿宋"/>
          <w:bCs/>
          <w:color w:val="000000"/>
        </w:rPr>
      </w:pPr>
    </w:p>
    <w:p w14:paraId="01860F6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56DFAB6F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6D916B5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35B2FE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0395909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2932B66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2A60D885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59C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AA193"/>
    <w:multiLevelType w:val="singleLevel"/>
    <w:tmpl w:val="50EAA1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3420E7B"/>
    <w:rsid w:val="083A0C0C"/>
    <w:rsid w:val="09A1725A"/>
    <w:rsid w:val="10E82D03"/>
    <w:rsid w:val="13623FB2"/>
    <w:rsid w:val="221A36F4"/>
    <w:rsid w:val="25D65498"/>
    <w:rsid w:val="346858E8"/>
    <w:rsid w:val="36E235B7"/>
    <w:rsid w:val="3B6C16D9"/>
    <w:rsid w:val="486B3145"/>
    <w:rsid w:val="4F311AFC"/>
    <w:rsid w:val="65861AE8"/>
    <w:rsid w:val="6C2C4154"/>
    <w:rsid w:val="6E7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2032</Words>
  <Characters>2359</Characters>
  <Lines>0</Lines>
  <Paragraphs>0</Paragraphs>
  <TotalTime>0</TotalTime>
  <ScaleCrop>false</ScaleCrop>
  <LinksUpToDate>false</LinksUpToDate>
  <CharactersWithSpaces>2621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一次心</cp:lastModifiedBy>
  <dcterms:modified xsi:type="dcterms:W3CDTF">2026-03-09T13:40:12Z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87B5EEB113BC46FB97D3FC1E80A38779_13</vt:lpwstr>
  </property>
  <property fmtid="{D5CDD505-2E9C-101B-9397-08002B2CF9AE}" pid="4" name="KSOTemplateDocerSaveRecord">
    <vt:lpwstr>eyJoZGlkIjoiMjcxMDljNjJjYWRmNTRhNzE4ZWE5ZGY2ZDExY2EyOTEiLCJ1c2VySWQiOiI0Mjc1NTAxODIifQ==</vt:lpwstr>
  </property>
</Properties>
</file>