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85A4">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      附件： </w:t>
      </w:r>
    </w:p>
    <w:p w14:paraId="1FD8185A">
      <w:pPr>
        <w:widowControl/>
        <w:spacing w:line="460" w:lineRule="exact"/>
        <w:jc w:val="center"/>
        <w:rPr>
          <w:rFonts w:ascii="宋体" w:hAnsi="宋体" w:cs="宋体"/>
          <w:b/>
          <w:bCs/>
          <w:color w:val="000000"/>
          <w:sz w:val="28"/>
          <w:szCs w:val="28"/>
        </w:rPr>
      </w:pPr>
      <w:r>
        <w:rPr>
          <w:rFonts w:hint="eastAsia" w:ascii="宋体" w:hAnsi="宋体" w:cs="宋体"/>
          <w:b/>
          <w:bCs/>
          <w:color w:val="000000"/>
          <w:sz w:val="28"/>
          <w:szCs w:val="28"/>
        </w:rPr>
        <w:t>需求征集明细表</w:t>
      </w:r>
    </w:p>
    <w:tbl>
      <w:tblPr>
        <w:tblStyle w:val="3"/>
        <w:tblpPr w:leftFromText="180" w:rightFromText="180" w:vertAnchor="text" w:horzAnchor="page" w:tblpXSpec="center" w:tblpY="469"/>
        <w:tblOverlap w:val="never"/>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496"/>
        <w:gridCol w:w="345"/>
        <w:gridCol w:w="1290"/>
        <w:gridCol w:w="3064"/>
        <w:gridCol w:w="540"/>
        <w:gridCol w:w="540"/>
        <w:gridCol w:w="865"/>
        <w:gridCol w:w="931"/>
      </w:tblGrid>
      <w:tr w14:paraId="53E8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446758FD">
            <w:pPr>
              <w:rPr>
                <w:rFonts w:ascii="宋体" w:hAnsi="宋体" w:cs="仿宋_GB2312"/>
                <w:b/>
                <w:bCs/>
                <w:color w:val="000000"/>
                <w:kern w:val="0"/>
              </w:rPr>
            </w:pPr>
            <w:r>
              <w:rPr>
                <w:rFonts w:hint="eastAsia" w:ascii="宋体" w:hAnsi="宋体" w:cs="仿宋_GB2312"/>
                <w:b/>
                <w:bCs/>
                <w:color w:val="000000"/>
                <w:kern w:val="0"/>
              </w:rPr>
              <w:t>一、技术要求</w:t>
            </w:r>
          </w:p>
        </w:tc>
      </w:tr>
      <w:tr w14:paraId="231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8" w:type="pct"/>
            <w:noWrap w:val="0"/>
            <w:tcMar>
              <w:top w:w="13" w:type="dxa"/>
              <w:left w:w="57" w:type="dxa"/>
              <w:bottom w:w="0" w:type="dxa"/>
              <w:right w:w="57" w:type="dxa"/>
            </w:tcMar>
            <w:vAlign w:val="center"/>
          </w:tcPr>
          <w:p w14:paraId="653265CC">
            <w:pPr>
              <w:jc w:val="center"/>
              <w:rPr>
                <w:rFonts w:ascii="宋体" w:hAnsi="宋体"/>
                <w:b/>
                <w:bCs/>
                <w:color w:val="000000"/>
                <w:kern w:val="0"/>
              </w:rPr>
            </w:pPr>
            <w:r>
              <w:rPr>
                <w:rFonts w:hint="eastAsia" w:ascii="宋体" w:hAnsi="宋体"/>
                <w:b/>
                <w:bCs/>
                <w:color w:val="000000"/>
                <w:kern w:val="0"/>
              </w:rPr>
              <w:t>序号</w:t>
            </w:r>
          </w:p>
        </w:tc>
        <w:tc>
          <w:tcPr>
            <w:tcW w:w="487" w:type="pct"/>
            <w:gridSpan w:val="2"/>
            <w:noWrap w:val="0"/>
            <w:tcMar>
              <w:top w:w="13" w:type="dxa"/>
              <w:left w:w="57" w:type="dxa"/>
              <w:bottom w:w="0" w:type="dxa"/>
              <w:right w:w="57" w:type="dxa"/>
            </w:tcMar>
            <w:vAlign w:val="center"/>
          </w:tcPr>
          <w:p w14:paraId="1DE5EFD8">
            <w:pPr>
              <w:snapToGrid w:val="0"/>
              <w:jc w:val="center"/>
              <w:rPr>
                <w:rFonts w:ascii="宋体" w:hAnsi="宋体"/>
                <w:b/>
                <w:bCs/>
                <w:color w:val="000000"/>
              </w:rPr>
            </w:pPr>
            <w:r>
              <w:rPr>
                <w:rFonts w:hint="eastAsia" w:ascii="宋体" w:hAnsi="宋体"/>
                <w:b/>
                <w:bCs/>
                <w:color w:val="000000"/>
              </w:rPr>
              <w:t>采购内容</w:t>
            </w:r>
          </w:p>
        </w:tc>
        <w:tc>
          <w:tcPr>
            <w:tcW w:w="748" w:type="pct"/>
            <w:noWrap w:val="0"/>
            <w:tcMar>
              <w:top w:w="13" w:type="dxa"/>
              <w:left w:w="57" w:type="dxa"/>
              <w:bottom w:w="0" w:type="dxa"/>
              <w:right w:w="57" w:type="dxa"/>
            </w:tcMar>
            <w:vAlign w:val="center"/>
          </w:tcPr>
          <w:p w14:paraId="6DB1791C">
            <w:pPr>
              <w:snapToGrid w:val="0"/>
              <w:jc w:val="center"/>
              <w:rPr>
                <w:rFonts w:ascii="宋体" w:hAnsi="宋体"/>
                <w:b/>
                <w:bCs/>
                <w:color w:val="000000"/>
                <w:kern w:val="0"/>
              </w:rPr>
            </w:pPr>
            <w:r>
              <w:rPr>
                <w:rFonts w:hint="eastAsia" w:ascii="宋体" w:hAnsi="宋体"/>
                <w:b/>
                <w:bCs/>
                <w:color w:val="000000"/>
              </w:rPr>
              <w:t>品牌型号、生产厂家</w:t>
            </w:r>
          </w:p>
        </w:tc>
        <w:tc>
          <w:tcPr>
            <w:tcW w:w="1777" w:type="pct"/>
            <w:noWrap w:val="0"/>
            <w:tcMar>
              <w:top w:w="13" w:type="dxa"/>
              <w:left w:w="57" w:type="dxa"/>
              <w:bottom w:w="0" w:type="dxa"/>
              <w:right w:w="57" w:type="dxa"/>
            </w:tcMar>
            <w:vAlign w:val="center"/>
          </w:tcPr>
          <w:p w14:paraId="1ED71BA5">
            <w:pPr>
              <w:jc w:val="center"/>
              <w:rPr>
                <w:rFonts w:ascii="宋体" w:hAnsi="宋体"/>
                <w:b/>
                <w:bCs/>
                <w:color w:val="000000"/>
              </w:rPr>
            </w:pPr>
            <w:r>
              <w:rPr>
                <w:rFonts w:hint="eastAsia" w:ascii="宋体" w:hAnsi="宋体" w:cs="仿宋_GB2312"/>
                <w:b/>
                <w:bCs/>
                <w:color w:val="000000"/>
                <w:kern w:val="0"/>
              </w:rPr>
              <w:t>技术参数</w:t>
            </w:r>
          </w:p>
        </w:tc>
        <w:tc>
          <w:tcPr>
            <w:tcW w:w="313" w:type="pct"/>
            <w:noWrap w:val="0"/>
            <w:vAlign w:val="center"/>
          </w:tcPr>
          <w:p w14:paraId="76C6C11B">
            <w:pPr>
              <w:jc w:val="center"/>
              <w:rPr>
                <w:rFonts w:ascii="宋体" w:hAnsi="宋体" w:cs="仿宋_GB2312"/>
                <w:b/>
                <w:bCs/>
                <w:color w:val="000000"/>
                <w:kern w:val="0"/>
              </w:rPr>
            </w:pPr>
            <w:r>
              <w:rPr>
                <w:rFonts w:hint="eastAsia" w:ascii="宋体" w:hAnsi="宋体" w:cs="仿宋_GB2312"/>
                <w:b/>
                <w:bCs/>
                <w:color w:val="000000"/>
                <w:kern w:val="0"/>
              </w:rPr>
              <w:t>计量</w:t>
            </w:r>
          </w:p>
          <w:p w14:paraId="371418AF">
            <w:pPr>
              <w:jc w:val="center"/>
              <w:rPr>
                <w:rFonts w:ascii="宋体" w:hAnsi="宋体"/>
                <w:b/>
                <w:bCs/>
                <w:color w:val="000000"/>
              </w:rPr>
            </w:pPr>
            <w:r>
              <w:rPr>
                <w:rFonts w:hint="eastAsia" w:ascii="宋体" w:hAnsi="宋体" w:cs="仿宋_GB2312"/>
                <w:b/>
                <w:bCs/>
                <w:color w:val="000000"/>
                <w:kern w:val="0"/>
              </w:rPr>
              <w:t>单位</w:t>
            </w:r>
          </w:p>
        </w:tc>
        <w:tc>
          <w:tcPr>
            <w:tcW w:w="313" w:type="pct"/>
            <w:noWrap w:val="0"/>
            <w:vAlign w:val="center"/>
          </w:tcPr>
          <w:p w14:paraId="30B0098B">
            <w:pPr>
              <w:jc w:val="center"/>
              <w:rPr>
                <w:rFonts w:ascii="宋体" w:hAnsi="宋体"/>
                <w:b/>
                <w:bCs/>
                <w:color w:val="000000"/>
              </w:rPr>
            </w:pPr>
            <w:r>
              <w:rPr>
                <w:rFonts w:hint="eastAsia" w:ascii="宋体" w:hAnsi="宋体" w:cs="仿宋_GB2312"/>
                <w:b/>
                <w:bCs/>
                <w:color w:val="000000"/>
                <w:kern w:val="0"/>
              </w:rPr>
              <w:t>数量</w:t>
            </w:r>
          </w:p>
        </w:tc>
        <w:tc>
          <w:tcPr>
            <w:tcW w:w="501" w:type="pct"/>
            <w:noWrap w:val="0"/>
            <w:vAlign w:val="center"/>
          </w:tcPr>
          <w:p w14:paraId="0409E966">
            <w:pPr>
              <w:jc w:val="center"/>
              <w:rPr>
                <w:rFonts w:ascii="宋体" w:hAnsi="宋体" w:cs="仿宋_GB2312"/>
                <w:b/>
                <w:bCs/>
                <w:color w:val="000000"/>
                <w:kern w:val="0"/>
              </w:rPr>
            </w:pPr>
            <w:r>
              <w:rPr>
                <w:rFonts w:hint="eastAsia" w:ascii="宋体" w:hAnsi="宋体" w:cs="仿宋_GB2312"/>
                <w:b/>
                <w:bCs/>
                <w:color w:val="000000"/>
                <w:kern w:val="0"/>
              </w:rPr>
              <w:t>单价</w:t>
            </w:r>
          </w:p>
          <w:p w14:paraId="359650E4">
            <w:pPr>
              <w:jc w:val="center"/>
              <w:rPr>
                <w:rFonts w:ascii="宋体" w:hAnsi="宋体" w:cs="仿宋_GB2312"/>
                <w:b/>
                <w:bCs/>
                <w:color w:val="000000"/>
                <w:kern w:val="0"/>
              </w:rPr>
            </w:pPr>
            <w:r>
              <w:rPr>
                <w:rFonts w:hint="eastAsia" w:ascii="宋体" w:hAnsi="宋体" w:cs="仿宋_GB2312"/>
                <w:b/>
                <w:bCs/>
                <w:color w:val="000000"/>
                <w:kern w:val="0"/>
              </w:rPr>
              <w:t>（元）</w:t>
            </w:r>
          </w:p>
        </w:tc>
        <w:tc>
          <w:tcPr>
            <w:tcW w:w="539" w:type="pct"/>
            <w:noWrap w:val="0"/>
            <w:vAlign w:val="center"/>
          </w:tcPr>
          <w:p w14:paraId="5B55DA05">
            <w:pPr>
              <w:jc w:val="center"/>
              <w:rPr>
                <w:rFonts w:ascii="宋体" w:hAnsi="宋体" w:cs="仿宋_GB2312"/>
                <w:b/>
                <w:bCs/>
                <w:color w:val="000000"/>
                <w:kern w:val="0"/>
              </w:rPr>
            </w:pPr>
            <w:r>
              <w:rPr>
                <w:rFonts w:hint="eastAsia" w:ascii="宋体" w:hAnsi="宋体" w:cs="仿宋_GB2312"/>
                <w:b/>
                <w:bCs/>
                <w:color w:val="000000"/>
                <w:kern w:val="0"/>
              </w:rPr>
              <w:t>小计</w:t>
            </w:r>
          </w:p>
          <w:p w14:paraId="49C0784D">
            <w:pPr>
              <w:jc w:val="center"/>
              <w:rPr>
                <w:rFonts w:ascii="宋体" w:hAnsi="宋体" w:cs="仿宋_GB2312"/>
                <w:b/>
                <w:bCs/>
                <w:color w:val="000000"/>
                <w:kern w:val="0"/>
              </w:rPr>
            </w:pPr>
            <w:r>
              <w:rPr>
                <w:rFonts w:hint="eastAsia" w:ascii="宋体" w:hAnsi="宋体" w:cs="仿宋_GB2312"/>
                <w:b/>
                <w:bCs/>
                <w:color w:val="000000"/>
                <w:kern w:val="0"/>
              </w:rPr>
              <w:t>（元）</w:t>
            </w:r>
          </w:p>
        </w:tc>
      </w:tr>
      <w:tr w14:paraId="3B69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49221303">
            <w:pPr>
              <w:jc w:val="center"/>
              <w:rPr>
                <w:rFonts w:hint="eastAsia" w:ascii="宋体" w:hAnsi="宋体" w:cs="宋体" w:eastAsiaTheme="minorEastAsia"/>
                <w:color w:val="000000"/>
                <w:lang w:eastAsia="zh-CN"/>
              </w:rPr>
            </w:pPr>
            <w:bookmarkStart w:id="0" w:name="OLE_LINK5" w:colFirst="1" w:colLast="69"/>
            <w:bookmarkStart w:id="1" w:name="_Hlk199951007"/>
            <w:bookmarkStart w:id="2" w:name="OLE_LINK6" w:colFirst="1" w:colLast="69"/>
            <w:r>
              <w:rPr>
                <w:rFonts w:hint="eastAsia"/>
                <w:color w:val="000000"/>
                <w:lang w:val="en-US" w:eastAsia="zh-CN"/>
              </w:rPr>
              <w:t>1</w:t>
            </w:r>
          </w:p>
        </w:tc>
        <w:tc>
          <w:tcPr>
            <w:tcW w:w="487" w:type="pct"/>
            <w:gridSpan w:val="2"/>
            <w:noWrap w:val="0"/>
            <w:tcMar>
              <w:top w:w="13" w:type="dxa"/>
              <w:left w:w="57" w:type="dxa"/>
              <w:bottom w:w="0" w:type="dxa"/>
              <w:right w:w="57" w:type="dxa"/>
            </w:tcMar>
            <w:vAlign w:val="center"/>
          </w:tcPr>
          <w:p w14:paraId="0A0B913D">
            <w:pPr>
              <w:keepNext w:val="0"/>
              <w:keepLines w:val="0"/>
              <w:widowControl/>
              <w:suppressLineNumbers w:val="0"/>
              <w:jc w:val="left"/>
              <w:textAlignment w:val="center"/>
              <w:rPr>
                <w:rFonts w:ascii="宋体" w:hAnsi="宋体" w:cs="宋体"/>
                <w:color w:val="000000"/>
              </w:rPr>
            </w:pPr>
            <w:r>
              <w:rPr>
                <w:rFonts w:hint="eastAsia" w:ascii="宋体" w:hAnsi="宋体" w:eastAsia="宋体" w:cs="宋体"/>
                <w:i w:val="0"/>
                <w:iCs w:val="0"/>
                <w:color w:val="000000"/>
                <w:kern w:val="0"/>
                <w:sz w:val="20"/>
                <w:szCs w:val="20"/>
                <w:u w:val="none"/>
                <w:lang w:val="en-US" w:eastAsia="zh-CN" w:bidi="ar"/>
              </w:rPr>
              <w:t>荧光定量PCR仪</w:t>
            </w:r>
          </w:p>
        </w:tc>
        <w:tc>
          <w:tcPr>
            <w:tcW w:w="748" w:type="pct"/>
            <w:noWrap w:val="0"/>
            <w:tcMar>
              <w:top w:w="13" w:type="dxa"/>
              <w:left w:w="57" w:type="dxa"/>
              <w:bottom w:w="0" w:type="dxa"/>
              <w:right w:w="57" w:type="dxa"/>
            </w:tcMar>
            <w:vAlign w:val="center"/>
          </w:tcPr>
          <w:p w14:paraId="6C1FC1EB">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Thermo Fisher /QuantStudio 5</w:t>
            </w:r>
          </w:p>
          <w:p w14:paraId="01D011A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Biorad/CFX96 Opus          3.Roche/LightCycler 48OII</w:t>
            </w:r>
          </w:p>
        </w:tc>
        <w:tc>
          <w:tcPr>
            <w:tcW w:w="3064" w:type="dxa"/>
            <w:noWrap w:val="0"/>
            <w:tcMar>
              <w:top w:w="13" w:type="dxa"/>
              <w:left w:w="57" w:type="dxa"/>
              <w:bottom w:w="0" w:type="dxa"/>
              <w:right w:w="57" w:type="dxa"/>
            </w:tcMar>
            <w:vAlign w:val="top"/>
          </w:tcPr>
          <w:p w14:paraId="6BF78BF9">
            <w:pPr>
              <w:keepNext w:val="0"/>
              <w:keepLines w:val="0"/>
              <w:widowControl/>
              <w:suppressLineNumbers w:val="0"/>
              <w:jc w:val="left"/>
              <w:textAlignment w:val="top"/>
              <w:rPr>
                <w:rFonts w:ascii="宋体" w:hAnsi="宋体" w:cs="宋体"/>
                <w:color w:val="000000"/>
              </w:rPr>
            </w:pPr>
            <w:r>
              <w:rPr>
                <w:rFonts w:hint="eastAsia" w:ascii="宋体" w:hAnsi="宋体" w:eastAsia="宋体" w:cs="宋体"/>
                <w:i w:val="0"/>
                <w:iCs w:val="0"/>
                <w:color w:val="000000"/>
                <w:kern w:val="0"/>
                <w:sz w:val="20"/>
                <w:szCs w:val="20"/>
                <w:u w:val="none"/>
                <w:lang w:val="en-US" w:eastAsia="zh-CN" w:bidi="ar"/>
              </w:rPr>
              <w:t>1.热循环系统：珀耳帖效应系统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2.精确数码温控模块: 6个独立的精确数码温控区域；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3.支持标准和快速运行模式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4.光学系统：高亮度白光半导体光源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▲5.荧光通道数：6色激发光通道和6色检测光通道；可自由组合，最多21种不同的荧光光谱。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▲6.检测器采用高分辨CMOS一次同时成像系统，避免逐孔检测导致的时间误差。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7.反应体积：10-100uL；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▲8.仪器一体化制造，配置96*0.2ml加热模块，光学部分和检测部分不可独立拆分，非普通PCR升级而成。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▲9.温控模块最高升降温速率：6.5°C/秒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10.温度范围：4°C–100°C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11.温度均一性：0.4°C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12.温度准确性：0.25°C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13.高分辨熔解曲线分辨率：小至 0.015°C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14.检测灵敏度：可以检测到1个拷贝。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15.检测精密度：可以分辨1.5倍拷贝数差异。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▲16.动态范围：≥10个数量级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▲17.具有温度梯度功能：由≥6个独立控温区组成，可分别设定温度参数，在一台仪器上同时进行≥6个不同样品的不同温度梯度实验。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▲18.被动参照染料：软件支持Rox荧光校正去除移液误差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19.内置互动触摸屏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20.主机可以独立运行，也可以通过连接电脑或者官方云服务平台运行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21.配备原版引物探针设计软件：用于定量PCR实验的引物和探针的设计。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22.可提供原厂生产的基于Taqman MGB技术检测microRNA的试剂盒、SNP检测试剂盒、基因拷贝数变异（CNV）检测试剂盒等，以及相对应的分析软件。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23.试剂耗材完全开放，支持普通的单管、8联管、96孔板。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▲24.为保证服务质量，必须提供生产厂家或国内代理商出具的售后服务承诺书原件。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25.配置：荧光定量PCR仪主机一台、96*0.2ml加热模块一个、分析工作站一套、 仪器原装标准分析软件一套、装机培训试剂一套、原厂96孔板+膜一盒、说明书一套</w:t>
            </w:r>
          </w:p>
        </w:tc>
        <w:tc>
          <w:tcPr>
            <w:tcW w:w="313" w:type="pct"/>
            <w:noWrap w:val="0"/>
            <w:vAlign w:val="center"/>
          </w:tcPr>
          <w:p w14:paraId="223FF689">
            <w:pPr>
              <w:keepNext w:val="0"/>
              <w:keepLines w:val="0"/>
              <w:widowControl/>
              <w:suppressLineNumbers w:val="0"/>
              <w:jc w:val="left"/>
              <w:textAlignment w:val="center"/>
              <w:rPr>
                <w:rFonts w:hint="default" w:ascii="宋体" w:hAnsi="宋体" w:cs="宋体" w:eastAsiaTheme="minorEastAsia"/>
                <w:color w:val="000000"/>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13" w:type="pct"/>
            <w:noWrap w:val="0"/>
            <w:vAlign w:val="center"/>
          </w:tcPr>
          <w:p w14:paraId="661A2F1E">
            <w:pPr>
              <w:keepNext w:val="0"/>
              <w:keepLines w:val="0"/>
              <w:widowControl/>
              <w:suppressLineNumbers w:val="0"/>
              <w:jc w:val="left"/>
              <w:textAlignment w:val="center"/>
              <w:rPr>
                <w:rFonts w:hint="eastAsia" w:ascii="宋体" w:hAnsi="宋体" w:cs="宋体" w:eastAsiaTheme="minorEastAsia"/>
                <w:color w:val="000000"/>
                <w:kern w:val="0"/>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01" w:type="pct"/>
            <w:noWrap w:val="0"/>
            <w:vAlign w:val="center"/>
          </w:tcPr>
          <w:p w14:paraId="2C123C7D">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550,000.00</w:t>
            </w:r>
          </w:p>
        </w:tc>
        <w:tc>
          <w:tcPr>
            <w:tcW w:w="539" w:type="pct"/>
            <w:noWrap w:val="0"/>
            <w:vAlign w:val="center"/>
          </w:tcPr>
          <w:p w14:paraId="4624523A">
            <w:pPr>
              <w:keepNext w:val="0"/>
              <w:keepLines w:val="0"/>
              <w:widowControl/>
              <w:suppressLineNumbers w:val="0"/>
              <w:jc w:val="left"/>
              <w:textAlignment w:val="center"/>
              <w:rPr>
                <w:rFonts w:hint="default" w:ascii="宋体" w:hAnsi="宋体" w:cs="宋体"/>
                <w:color w:val="000000"/>
                <w:kern w:val="0"/>
                <w:lang w:val="en-US" w:bidi="zh-CN"/>
              </w:rPr>
            </w:pPr>
            <w:r>
              <w:rPr>
                <w:rFonts w:hint="eastAsia" w:ascii="宋体" w:hAnsi="宋体" w:eastAsia="宋体" w:cs="宋体"/>
                <w:i w:val="0"/>
                <w:iCs w:val="0"/>
                <w:color w:val="000000"/>
                <w:kern w:val="0"/>
                <w:sz w:val="20"/>
                <w:szCs w:val="20"/>
                <w:u w:val="none"/>
                <w:lang w:val="en-US" w:eastAsia="zh-CN" w:bidi="ar"/>
              </w:rPr>
              <w:t>2,200,000.00</w:t>
            </w:r>
          </w:p>
        </w:tc>
      </w:tr>
      <w:tr w14:paraId="6AC2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18" w:type="pct"/>
            <w:noWrap w:val="0"/>
            <w:tcMar>
              <w:top w:w="13" w:type="dxa"/>
              <w:left w:w="57" w:type="dxa"/>
              <w:bottom w:w="0" w:type="dxa"/>
              <w:right w:w="57" w:type="dxa"/>
            </w:tcMar>
            <w:vAlign w:val="center"/>
          </w:tcPr>
          <w:p w14:paraId="7EE756F4">
            <w:pPr>
              <w:jc w:val="center"/>
              <w:rPr>
                <w:rFonts w:hint="default"/>
                <w:color w:val="000000"/>
                <w:lang w:val="en-US" w:eastAsia="zh-CN"/>
              </w:rPr>
            </w:pPr>
            <w:r>
              <w:rPr>
                <w:rFonts w:hint="eastAsia"/>
                <w:color w:val="000000"/>
                <w:lang w:val="en-US" w:eastAsia="zh-CN"/>
              </w:rPr>
              <w:t>2</w:t>
            </w:r>
          </w:p>
        </w:tc>
        <w:tc>
          <w:tcPr>
            <w:tcW w:w="487" w:type="pct"/>
            <w:gridSpan w:val="2"/>
            <w:noWrap w:val="0"/>
            <w:tcMar>
              <w:top w:w="13" w:type="dxa"/>
              <w:left w:w="57" w:type="dxa"/>
              <w:bottom w:w="0" w:type="dxa"/>
              <w:right w:w="57" w:type="dxa"/>
            </w:tcMar>
            <w:vAlign w:val="center"/>
          </w:tcPr>
          <w:p w14:paraId="0BC97AE7">
            <w:pPr>
              <w:keepNext w:val="0"/>
              <w:keepLines w:val="0"/>
              <w:widowControl/>
              <w:suppressLineNumbers w:val="0"/>
              <w:jc w:val="left"/>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超灵敏多功能成像系统</w:t>
            </w:r>
          </w:p>
        </w:tc>
        <w:tc>
          <w:tcPr>
            <w:tcW w:w="748" w:type="pct"/>
            <w:noWrap w:val="0"/>
            <w:tcMar>
              <w:top w:w="13" w:type="dxa"/>
              <w:left w:w="57" w:type="dxa"/>
              <w:bottom w:w="0" w:type="dxa"/>
              <w:right w:w="57" w:type="dxa"/>
            </w:tcMar>
            <w:vAlign w:val="center"/>
          </w:tcPr>
          <w:p w14:paraId="3F9530DA">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德国耶拿/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UVP ChemStudio 695</w:t>
            </w:r>
          </w:p>
          <w:p w14:paraId="23D11DFA">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cytiva - AI 800</w:t>
            </w:r>
          </w:p>
          <w:p w14:paraId="074DD1E6">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ThermoFisher - iBright FL1500</w:t>
            </w:r>
          </w:p>
        </w:tc>
        <w:tc>
          <w:tcPr>
            <w:tcW w:w="3064" w:type="dxa"/>
            <w:noWrap w:val="0"/>
            <w:tcMar>
              <w:top w:w="13" w:type="dxa"/>
              <w:left w:w="57" w:type="dxa"/>
              <w:bottom w:w="0" w:type="dxa"/>
              <w:right w:w="57" w:type="dxa"/>
            </w:tcMar>
            <w:vAlign w:val="top"/>
          </w:tcPr>
          <w:p w14:paraId="156DCDCC">
            <w:pPr>
              <w:keepNext w:val="0"/>
              <w:keepLines w:val="0"/>
              <w:widowControl/>
              <w:suppressLineNumbers w:val="0"/>
              <w:jc w:val="left"/>
              <w:textAlignment w:val="top"/>
              <w:rPr>
                <w:rFonts w:ascii="宋体" w:hAnsi="宋体" w:cs="宋体"/>
                <w:color w:val="000000"/>
              </w:rPr>
            </w:pPr>
            <w:r>
              <w:rPr>
                <w:rFonts w:hint="eastAsia" w:ascii="宋体" w:hAnsi="宋体" w:eastAsia="宋体" w:cs="宋体"/>
                <w:i w:val="0"/>
                <w:iCs w:val="0"/>
                <w:color w:val="000000"/>
                <w:kern w:val="0"/>
                <w:sz w:val="20"/>
                <w:szCs w:val="20"/>
                <w:u w:val="none"/>
                <w:lang w:val="en-US" w:eastAsia="zh-CN" w:bidi="ar"/>
              </w:rPr>
              <w:t>1.标配功能覆盖：实现紫外核酸凝胶成像、透射白光蛋白胶成像，化学发光成像、RGB红绿蓝荧光成像、小动物活体荧光成像、平板克隆成像统计分析等。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一体式设计，无需复杂的现场安装调试工作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CCD冷却方式：Peltier，制冷温度≤-60℃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CCD像素矩阵2750×2200，即CCD物理分辨率≥600万像素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仪器检测的定量范围≥4个数量级，≥16 bit数据输出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像素点单元合并方式不少于： 1x1, 2x2, 3x3, 4x4, 5x5, 6x6, 7x7, 8x8，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7.配置有不小于f/0.95 口径的CCD定焦镜头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标配不少于透射紫外、透射白光、反射白光、红色荧光、蓝色荧光、绿色荧光六种不同的光源激发系统，方便不同实验的需求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采用矩阵式排列的红绿蓝3色LED荧光光源，每色荧光有不少于40颗LED荧光光源颗粒聚焦而成，不仅适合普通荧光成像，更能满足小动物活体荧光成像需求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可加配双波段近红外激光荧光光源，实现信噪比更高的激光近红外荧光成像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可加配全波长的氙灯荧光激发光源，满足更宽波长范围内的活体荧光成像需求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12.标配有RGB红绿蓝叁色滤光片组模块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13.共有21种不同波段的滤光片组合可选，满足不同荧光波段的检测需求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暗箱箱体绝对光密封，满足化学发光、多色荧光灯实验需要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紫外台采用独特的长寿命冷阴极管UV灯，兼容普通凝胶成像和蛋白免染胶成像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16.紫外透射台的紫外强度不少于两档可调，满足不同的应用需求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▲17.成像面积不小于16.8 x 21 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18.可以同时进行多重荧光分析，用于不同标记DNA、蛋白分析（蛋白表达、修饰等）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专业成像分析软件具有自动调焦、自动成像等功能，从而方便实验操作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20.软件系统及功能：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20.1极简的一键成像功能，操作极其简单；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20.2具有实时预览、自动曝光模式；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20.3.分子量测定、碱基数测定、RF值测定、克隆计数、相对百分比浓度测定、绝对浓度、光密度测定；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20.4.标准曲线制作、自动/手动泳道识别、自动/手动条带识别、定义标记物、图像文字注释、图像角度旋转；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20.5.图像镜像、反色及明暗对比处理、倾斜弯曲泳道条带修正，背景扣除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20.6.显示过饱和图像提示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▲20.7.软件具有平板克隆计数及其克隆数据统计分析功能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20.8.软件标配有小动物活体成像的数据分析功能模块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20.9.软件满足21 CFR Part 11 条例，具有数据图像采集和图像分析操作过程中的电子签名和数据可审计追踪功能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20.10．控制分析软件可至少在中文和英文间自由切换，从而满足不同的使用习惯</w:t>
            </w:r>
          </w:p>
        </w:tc>
        <w:tc>
          <w:tcPr>
            <w:tcW w:w="313" w:type="pct"/>
            <w:noWrap w:val="0"/>
            <w:vAlign w:val="center"/>
          </w:tcPr>
          <w:p w14:paraId="01AF314B">
            <w:pPr>
              <w:keepNext w:val="0"/>
              <w:keepLines w:val="0"/>
              <w:widowControl/>
              <w:suppressLineNumbers w:val="0"/>
              <w:jc w:val="left"/>
              <w:textAlignment w:val="center"/>
              <w:rPr>
                <w:rFonts w:hint="eastAsia" w:ascii="宋体" w:hAnsi="宋体" w:cs="宋体"/>
                <w:color w:val="000000"/>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313" w:type="pct"/>
            <w:noWrap w:val="0"/>
            <w:vAlign w:val="center"/>
          </w:tcPr>
          <w:p w14:paraId="2F732100">
            <w:pPr>
              <w:keepNext w:val="0"/>
              <w:keepLines w:val="0"/>
              <w:widowControl/>
              <w:suppressLineNumbers w:val="0"/>
              <w:jc w:val="left"/>
              <w:textAlignment w:val="center"/>
              <w:rPr>
                <w:rFonts w:hint="eastAsia" w:ascii="宋体" w:hAnsi="宋体" w:cs="宋体"/>
                <w:color w:val="000000"/>
                <w:kern w:val="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01" w:type="pct"/>
            <w:noWrap w:val="0"/>
            <w:vAlign w:val="center"/>
          </w:tcPr>
          <w:p w14:paraId="2AF6748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520,000.00</w:t>
            </w:r>
          </w:p>
        </w:tc>
        <w:tc>
          <w:tcPr>
            <w:tcW w:w="539" w:type="pct"/>
            <w:noWrap w:val="0"/>
            <w:vAlign w:val="center"/>
          </w:tcPr>
          <w:p w14:paraId="779D5499">
            <w:pPr>
              <w:keepNext w:val="0"/>
              <w:keepLines w:val="0"/>
              <w:widowControl/>
              <w:suppressLineNumbers w:val="0"/>
              <w:jc w:val="left"/>
              <w:textAlignment w:val="center"/>
              <w:rPr>
                <w:rFonts w:hint="eastAsia" w:ascii="宋体" w:hAnsi="宋体" w:cs="宋体"/>
                <w:color w:val="000000"/>
                <w:kern w:val="0"/>
                <w:lang w:val="en-US" w:bidi="zh-CN"/>
              </w:rPr>
            </w:pPr>
            <w:r>
              <w:rPr>
                <w:rFonts w:hint="eastAsia" w:ascii="宋体" w:hAnsi="宋体" w:eastAsia="宋体" w:cs="宋体"/>
                <w:i w:val="0"/>
                <w:iCs w:val="0"/>
                <w:color w:val="000000"/>
                <w:kern w:val="0"/>
                <w:sz w:val="20"/>
                <w:szCs w:val="20"/>
                <w:u w:val="none"/>
                <w:lang w:val="en-US" w:eastAsia="zh-CN" w:bidi="ar"/>
              </w:rPr>
              <w:t>520,000.00</w:t>
            </w:r>
          </w:p>
        </w:tc>
      </w:tr>
      <w:tr w14:paraId="05EE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4" w:hRule="atLeast"/>
          <w:jc w:val="center"/>
        </w:trPr>
        <w:tc>
          <w:tcPr>
            <w:tcW w:w="318" w:type="pct"/>
            <w:noWrap w:val="0"/>
            <w:tcMar>
              <w:top w:w="13" w:type="dxa"/>
              <w:left w:w="57" w:type="dxa"/>
              <w:bottom w:w="0" w:type="dxa"/>
              <w:right w:w="57" w:type="dxa"/>
            </w:tcMar>
            <w:vAlign w:val="center"/>
          </w:tcPr>
          <w:p w14:paraId="7E7150A7">
            <w:pPr>
              <w:jc w:val="center"/>
              <w:rPr>
                <w:rFonts w:hint="default"/>
                <w:color w:val="000000"/>
                <w:lang w:val="en-US" w:eastAsia="zh-CN"/>
              </w:rPr>
            </w:pPr>
            <w:r>
              <w:rPr>
                <w:rFonts w:hint="eastAsia"/>
                <w:color w:val="000000"/>
                <w:lang w:val="en-US" w:eastAsia="zh-CN"/>
              </w:rPr>
              <w:t>3</w:t>
            </w:r>
          </w:p>
        </w:tc>
        <w:tc>
          <w:tcPr>
            <w:tcW w:w="487" w:type="pct"/>
            <w:gridSpan w:val="2"/>
            <w:noWrap w:val="0"/>
            <w:tcMar>
              <w:top w:w="13" w:type="dxa"/>
              <w:left w:w="57" w:type="dxa"/>
              <w:bottom w:w="0" w:type="dxa"/>
              <w:right w:w="57" w:type="dxa"/>
            </w:tcMar>
            <w:vAlign w:val="center"/>
          </w:tcPr>
          <w:p w14:paraId="4A71E753">
            <w:pPr>
              <w:keepNext w:val="0"/>
              <w:keepLines w:val="0"/>
              <w:widowControl/>
              <w:suppressLineNumbers w:val="0"/>
              <w:jc w:val="left"/>
              <w:textAlignment w:val="center"/>
              <w:rPr>
                <w:rFonts w:hint="eastAsia" w:ascii="宋体" w:hAnsi="宋体" w:cs="宋体"/>
                <w:color w:val="000000"/>
              </w:rPr>
            </w:pPr>
            <w:r>
              <w:rPr>
                <w:rFonts w:hint="eastAsia" w:ascii="宋体" w:hAnsi="宋体" w:eastAsia="宋体" w:cs="宋体"/>
                <w:i w:val="0"/>
                <w:iCs w:val="0"/>
                <w:color w:val="000000"/>
                <w:kern w:val="0"/>
                <w:sz w:val="20"/>
                <w:szCs w:val="20"/>
                <w:u w:val="none"/>
                <w:lang w:val="en-US" w:eastAsia="zh-CN" w:bidi="ar"/>
              </w:rPr>
              <w:t>多功能酶标仪</w:t>
            </w:r>
          </w:p>
        </w:tc>
        <w:tc>
          <w:tcPr>
            <w:tcW w:w="748" w:type="pct"/>
            <w:noWrap w:val="0"/>
            <w:tcMar>
              <w:top w:w="13" w:type="dxa"/>
              <w:left w:w="57" w:type="dxa"/>
              <w:bottom w:w="0" w:type="dxa"/>
              <w:right w:w="57" w:type="dxa"/>
            </w:tcMar>
            <w:vAlign w:val="center"/>
          </w:tcPr>
          <w:p w14:paraId="05AE65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1.Agilent/Synergy H1MF</w:t>
            </w:r>
          </w:p>
          <w:p w14:paraId="5A692E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2.ThermoFisher/Varioskan™</w:t>
            </w:r>
          </w:p>
          <w:p w14:paraId="05628E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LUX</w:t>
            </w:r>
          </w:p>
          <w:p w14:paraId="138357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3.Revvity/victor nivo TM alpha F</w:t>
            </w:r>
          </w:p>
        </w:tc>
        <w:tc>
          <w:tcPr>
            <w:tcW w:w="3064" w:type="dxa"/>
            <w:noWrap w:val="0"/>
            <w:tcMar>
              <w:top w:w="13" w:type="dxa"/>
              <w:left w:w="57" w:type="dxa"/>
              <w:bottom w:w="0" w:type="dxa"/>
              <w:right w:w="57" w:type="dxa"/>
            </w:tcMar>
            <w:vAlign w:val="top"/>
          </w:tcPr>
          <w:p w14:paraId="1A5B7E2A">
            <w:pPr>
              <w:keepNext w:val="0"/>
              <w:keepLines w:val="0"/>
              <w:widowControl/>
              <w:suppressLineNumbers w:val="0"/>
              <w:jc w:val="left"/>
              <w:textAlignment w:val="top"/>
              <w:rPr>
                <w:rFonts w:ascii="宋体" w:hAnsi="宋体" w:cs="宋体"/>
                <w:color w:val="000000"/>
              </w:rPr>
            </w:pPr>
            <w:r>
              <w:rPr>
                <w:rFonts w:hint="eastAsia" w:ascii="宋体" w:hAnsi="宋体" w:eastAsia="宋体" w:cs="宋体"/>
                <w:i w:val="0"/>
                <w:iCs w:val="0"/>
                <w:color w:val="000000"/>
                <w:kern w:val="0"/>
                <w:sz w:val="20"/>
                <w:szCs w:val="20"/>
                <w:u w:val="none"/>
                <w:lang w:val="en-US" w:eastAsia="zh-CN" w:bidi="ar"/>
              </w:rPr>
              <w:t>1.功能：支持紫外-可见吸收光，顶部及底部荧光，时间分辨荧光，荧光共振能量转移，荧光光谱扫描，化学发光，发光光谱扫描，荧光偏振，梯度控温，三维振荡等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光路设计：整合了目前荧光检测最为流行的四光栅检测系统和滤光片检测系统，为客户提供了应用最为广泛的荧光检测系统，两套系统具有独立的光源和检测器，互不干扰，使用氙灯-双光栅-光电二极管进行吸收光检测；使用四光栅荧光光路系统进行全波长荧光顶底部检测和使用滤光片-二向色镜系统进行快速和高性能的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3.光源：双高能氙灯，光源能量可根据样品信号强度进行调整，有低、中、高三种能量强度可选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4.检测器：光电二极管(PDT)，低噪音光电倍增管（PMT）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▲5.微量样品检测：可选微量检测板，可进行16个或48个体积为2μl的核酸蛋白定量、原厂比色杯及标准比色杯的检测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▲6.振荡功能：线性，轨道，双轨道，振荡时间、强度可调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▲7.温控范围：室温+4℃至45℃，±0.2 °C @ 37 °C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梯度温控： 可以对检测板上下设置差异温度，有效防止凝集现象产生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▲9.吸收光功能：230-999 nm, 1 nm 步进；OD分辨率：≤0.0001 OD；测量范围：0-4.0 OD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检测速度: 96孔板≤11秒；384孔板≤22秒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11.检测模式：终点法，动力学法，波长扫描和微孔孔域扫描，单孔最多可进行225次检测，可实现孔板内的不连续跳跃检测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12.OD 准确性： ≤ 1% @ 2.0 OD；OD 重复性： ≤ 0.5% @ 2.0 OD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▲13.光路径校正：具备光路径长度校正功能，可将微孔板光路径长度转化为标准的1cm路径长度，校正误差，无须标准曲线即可准确定量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荧光波长选择：四光栅 (顶/底部)+滤光片-二向色镜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带宽：激发16nm，发射16nm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▲16.荧光灵敏度：顶部：≤0.25 pM 荧光素 ( 0.025 fmol/孔 384孔板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底部：≤4pM 荧光素 ( 0.4fmol/孔 384孔板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17.荧光检测范围：200-850nm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18.荧光光谱扫描：可进行激发光及发射光扫描，1nm步进，绘制扫描曲线，确定荧光光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谱特性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19.时间分辨荧光灵敏度：≤Eu 40 fM  ( 4 amol/孔384孔板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20.荧光偏振灵敏度：≤1.2 mP @ 1 nM 荧光素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21.发光波长范围：300-700 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22.发光灵敏度：≤10 amol /孔 ATP闪光分析 ( 96孔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▲23.探头自动扫描：探头高度可在0-16mm范围内进行自动扫描，选择最佳检测探头高度。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▲24.高精度孔域扫描：可选99×99点矩阵扫描，并可根据样品形状选择扫描区域大小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25.兼容版型：6-384孔板，支持兼容微量检测板，用于低至2ul核酸蛋白样品分析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软件:正版中英文仪器控制及数据分析软件,可对原始数据进行多重运算，自动背景扣除，可根据需要设定参照值，并根据标准曲线自动运算样品浓度，可运算动力学反应速率，给出最大、最小及平均反应速率，并可进行EC50、3D扫描和Z-Prime等统计学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27.高通量活细胞培养自动化兼容：可外接高通量活细胞培养装置，支持最多8块96或384孔微孔板同时进行活细胞培养及监测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▲28.需提供原厂商或总代理授权及售后服务承诺书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配置：多功能酶标仪主机一套（四光栅及滤光片双光路系统包括紫外-可见连续波长吸收光模块、荧光顶板及底部模块、化学发光模块、时间分辨荧光模块、荧光偏振模块）；中文仪器控制及数据分析软件一套；16通道微量检测板一块；国内采购电脑一套。</w:t>
            </w:r>
          </w:p>
        </w:tc>
        <w:tc>
          <w:tcPr>
            <w:tcW w:w="313" w:type="pct"/>
            <w:noWrap w:val="0"/>
            <w:vAlign w:val="center"/>
          </w:tcPr>
          <w:p w14:paraId="156FBBB9">
            <w:pPr>
              <w:keepNext w:val="0"/>
              <w:keepLines w:val="0"/>
              <w:widowControl/>
              <w:suppressLineNumbers w:val="0"/>
              <w:jc w:val="left"/>
              <w:textAlignment w:val="center"/>
              <w:rPr>
                <w:rFonts w:hint="eastAsia" w:ascii="宋体" w:hAnsi="宋体" w:cs="宋体"/>
                <w:color w:val="000000"/>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313" w:type="pct"/>
            <w:noWrap w:val="0"/>
            <w:vAlign w:val="center"/>
          </w:tcPr>
          <w:p w14:paraId="3E311F1B">
            <w:pPr>
              <w:keepNext w:val="0"/>
              <w:keepLines w:val="0"/>
              <w:widowControl/>
              <w:suppressLineNumbers w:val="0"/>
              <w:jc w:val="left"/>
              <w:textAlignment w:val="center"/>
              <w:rPr>
                <w:rFonts w:hint="eastAsia" w:ascii="宋体" w:hAnsi="宋体" w:cs="宋体"/>
                <w:color w:val="000000"/>
                <w:kern w:val="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01" w:type="pct"/>
            <w:noWrap w:val="0"/>
            <w:vAlign w:val="center"/>
          </w:tcPr>
          <w:p w14:paraId="51E2DC55">
            <w:pPr>
              <w:keepNext w:val="0"/>
              <w:keepLines w:val="0"/>
              <w:widowControl/>
              <w:suppressLineNumbers w:val="0"/>
              <w:jc w:val="left"/>
              <w:textAlignment w:val="center"/>
              <w:rPr>
                <w:rFonts w:hint="default" w:ascii="宋体" w:hAnsi="宋体" w:cs="宋体"/>
                <w:color w:val="000000"/>
                <w:kern w:val="0"/>
                <w:lang w:val="en-US" w:bidi="zh-CN"/>
              </w:rPr>
            </w:pPr>
            <w:r>
              <w:rPr>
                <w:rFonts w:hint="eastAsia" w:ascii="宋体" w:hAnsi="宋体" w:eastAsia="宋体" w:cs="宋体"/>
                <w:i w:val="0"/>
                <w:iCs w:val="0"/>
                <w:color w:val="000000"/>
                <w:kern w:val="0"/>
                <w:sz w:val="20"/>
                <w:szCs w:val="20"/>
                <w:u w:val="none"/>
                <w:lang w:val="en-US" w:eastAsia="zh-CN" w:bidi="ar"/>
              </w:rPr>
              <w:t>550,000.00</w:t>
            </w:r>
          </w:p>
        </w:tc>
        <w:tc>
          <w:tcPr>
            <w:tcW w:w="539" w:type="pct"/>
            <w:noWrap w:val="0"/>
            <w:vAlign w:val="center"/>
          </w:tcPr>
          <w:p w14:paraId="2ED46833">
            <w:pPr>
              <w:keepNext w:val="0"/>
              <w:keepLines w:val="0"/>
              <w:widowControl/>
              <w:suppressLineNumbers w:val="0"/>
              <w:jc w:val="left"/>
              <w:textAlignment w:val="center"/>
              <w:rPr>
                <w:rFonts w:hint="default" w:ascii="宋体" w:hAnsi="宋体" w:cs="宋体"/>
                <w:color w:val="000000"/>
                <w:kern w:val="0"/>
                <w:lang w:val="en-US" w:bidi="zh-CN"/>
              </w:rPr>
            </w:pPr>
            <w:r>
              <w:rPr>
                <w:rFonts w:hint="eastAsia" w:ascii="宋体" w:hAnsi="宋体" w:eastAsia="宋体" w:cs="宋体"/>
                <w:i w:val="0"/>
                <w:iCs w:val="0"/>
                <w:color w:val="000000"/>
                <w:kern w:val="0"/>
                <w:sz w:val="20"/>
                <w:szCs w:val="20"/>
                <w:u w:val="none"/>
                <w:lang w:val="en-US" w:eastAsia="zh-CN" w:bidi="ar"/>
              </w:rPr>
              <w:t>1,100,000.00</w:t>
            </w:r>
          </w:p>
        </w:tc>
      </w:tr>
      <w:bookmarkEnd w:id="0"/>
      <w:bookmarkEnd w:id="1"/>
      <w:bookmarkEnd w:id="2"/>
      <w:tr w14:paraId="3FB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331" w:type="pct"/>
            <w:gridSpan w:val="5"/>
            <w:noWrap w:val="0"/>
            <w:tcMar>
              <w:top w:w="13" w:type="dxa"/>
              <w:left w:w="57" w:type="dxa"/>
              <w:bottom w:w="0" w:type="dxa"/>
              <w:right w:w="57" w:type="dxa"/>
            </w:tcMar>
            <w:vAlign w:val="center"/>
          </w:tcPr>
          <w:p w14:paraId="72309B8A">
            <w:pPr>
              <w:widowControl/>
              <w:jc w:val="center"/>
              <w:textAlignment w:val="center"/>
              <w:rPr>
                <w:rFonts w:ascii="宋体" w:hAnsi="宋体" w:cs="宋体"/>
                <w:b/>
                <w:color w:val="000000"/>
                <w:kern w:val="0"/>
                <w:lang w:bidi="zh-CN"/>
              </w:rPr>
            </w:pPr>
            <w:r>
              <w:rPr>
                <w:rFonts w:hint="eastAsia" w:ascii="宋体" w:hAnsi="宋体" w:cs="宋体"/>
                <w:b/>
                <w:color w:val="000000"/>
                <w:kern w:val="0"/>
                <w:lang w:bidi="zh-CN"/>
              </w:rPr>
              <w:t>合计金额：（大写）人民币</w:t>
            </w:r>
            <w:r>
              <w:rPr>
                <w:rFonts w:ascii="宋体" w:hAnsi="宋体" w:cs="宋体"/>
                <w:b/>
                <w:color w:val="000000"/>
                <w:kern w:val="0"/>
                <w:u w:val="single"/>
                <w:lang w:bidi="zh-CN"/>
              </w:rPr>
              <w:t xml:space="preserve"> </w:t>
            </w:r>
            <w:r>
              <w:rPr>
                <w:rFonts w:hint="eastAsia" w:ascii="宋体" w:hAnsi="宋体" w:cs="宋体"/>
                <w:b/>
                <w:color w:val="000000"/>
                <w:kern w:val="0"/>
                <w:u w:val="single"/>
                <w:lang w:bidi="zh-CN"/>
              </w:rPr>
              <w:t>伍</w:t>
            </w:r>
            <w:r>
              <w:rPr>
                <w:rFonts w:hint="eastAsia" w:ascii="宋体" w:hAnsi="宋体" w:cs="宋体"/>
                <w:b/>
                <w:color w:val="000000"/>
                <w:kern w:val="0"/>
                <w:u w:val="single"/>
                <w:lang w:val="en-US" w:bidi="zh-CN"/>
              </w:rPr>
              <w:t>拾万</w:t>
            </w:r>
            <w:r>
              <w:rPr>
                <w:rFonts w:hint="eastAsia" w:ascii="宋体" w:hAnsi="宋体" w:cs="宋体"/>
                <w:b/>
                <w:color w:val="000000"/>
                <w:kern w:val="0"/>
                <w:lang w:bidi="zh-CN"/>
              </w:rPr>
              <w:t>元整</w:t>
            </w:r>
          </w:p>
        </w:tc>
        <w:tc>
          <w:tcPr>
            <w:tcW w:w="1668" w:type="pct"/>
            <w:gridSpan w:val="4"/>
            <w:noWrap w:val="0"/>
            <w:vAlign w:val="center"/>
          </w:tcPr>
          <w:p w14:paraId="02603391">
            <w:pPr>
              <w:widowControl/>
              <w:jc w:val="left"/>
              <w:textAlignment w:val="center"/>
              <w:rPr>
                <w:rFonts w:ascii="宋体" w:hAnsi="宋体" w:cs="宋体"/>
                <w:b/>
                <w:color w:val="000000"/>
                <w:kern w:val="0"/>
                <w:lang w:bidi="zh-CN"/>
              </w:rPr>
            </w:pPr>
            <w:r>
              <w:rPr>
                <w:rFonts w:hint="eastAsia" w:ascii="宋体" w:hAnsi="宋体" w:cs="宋体"/>
                <w:b/>
                <w:color w:val="000000"/>
                <w:kern w:val="0"/>
                <w:lang w:bidi="zh-CN"/>
              </w:rPr>
              <w:t>（小写）¥</w:t>
            </w:r>
            <w:r>
              <w:rPr>
                <w:rFonts w:hint="eastAsia" w:ascii="宋体" w:hAnsi="宋体" w:cs="宋体"/>
                <w:b/>
                <w:color w:val="000000"/>
                <w:kern w:val="0"/>
                <w:u w:val="single"/>
                <w:lang w:val="en-US" w:bidi="zh-CN"/>
              </w:rPr>
              <w:t>3,820,000.00</w:t>
            </w:r>
            <w:r>
              <w:rPr>
                <w:rFonts w:ascii="宋体" w:hAnsi="宋体" w:cs="宋体"/>
                <w:b/>
                <w:color w:val="000000"/>
                <w:kern w:val="0"/>
                <w:u w:val="single"/>
                <w:lang w:bidi="zh-CN"/>
              </w:rPr>
              <w:t xml:space="preserve">  </w:t>
            </w:r>
          </w:p>
        </w:tc>
      </w:tr>
      <w:tr w14:paraId="2C34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9"/>
            <w:noWrap w:val="0"/>
            <w:tcMar>
              <w:top w:w="13" w:type="dxa"/>
              <w:left w:w="57" w:type="dxa"/>
              <w:bottom w:w="0" w:type="dxa"/>
              <w:right w:w="57" w:type="dxa"/>
            </w:tcMar>
            <w:vAlign w:val="center"/>
          </w:tcPr>
          <w:p w14:paraId="19530EC5">
            <w:pPr>
              <w:widowControl/>
              <w:jc w:val="left"/>
              <w:textAlignment w:val="center"/>
              <w:rPr>
                <w:rFonts w:ascii="宋体" w:hAnsi="宋体" w:cs="宋体"/>
                <w:b/>
                <w:color w:val="000000"/>
                <w:kern w:val="0"/>
                <w:lang w:bidi="zh-CN"/>
              </w:rPr>
            </w:pPr>
            <w:r>
              <w:rPr>
                <w:rFonts w:hint="eastAsia" w:ascii="宋体" w:hAnsi="宋体"/>
                <w:b/>
                <w:bCs/>
                <w:color w:val="000000"/>
              </w:rPr>
              <w:t>二、商务要求</w:t>
            </w:r>
          </w:p>
        </w:tc>
      </w:tr>
      <w:tr w14:paraId="7921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A322C96">
            <w:pPr>
              <w:jc w:val="center"/>
              <w:rPr>
                <w:rFonts w:ascii="宋体" w:hAnsi="宋体" w:cs="宋体"/>
                <w:b/>
                <w:bCs/>
              </w:rPr>
            </w:pPr>
            <w:r>
              <w:rPr>
                <w:rFonts w:hint="eastAsia" w:ascii="宋体" w:hAnsi="宋体" w:cs="宋体"/>
                <w:b/>
                <w:bCs/>
              </w:rPr>
              <w:t>报价说明</w:t>
            </w:r>
          </w:p>
        </w:tc>
        <w:tc>
          <w:tcPr>
            <w:tcW w:w="4393" w:type="pct"/>
            <w:gridSpan w:val="7"/>
            <w:noWrap w:val="0"/>
            <w:tcMar>
              <w:top w:w="13" w:type="dxa"/>
              <w:left w:w="57" w:type="dxa"/>
              <w:bottom w:w="0" w:type="dxa"/>
              <w:right w:w="57" w:type="dxa"/>
            </w:tcMar>
            <w:vAlign w:val="center"/>
          </w:tcPr>
          <w:p w14:paraId="28D57560">
            <w:pPr>
              <w:rPr>
                <w:rFonts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3ACFD6ED">
            <w:pPr>
              <w:rPr>
                <w:rFonts w:ascii="宋体" w:hAnsi="宋体" w:cs="宋体"/>
              </w:rPr>
            </w:pPr>
            <w:r>
              <w:rPr>
                <w:rFonts w:ascii="宋体" w:hAnsi="宋体" w:cs="宋体"/>
              </w:rPr>
              <w:t>1）</w:t>
            </w:r>
            <w:r>
              <w:rPr>
                <w:rFonts w:hint="eastAsia" w:ascii="宋体" w:hAnsi="宋体" w:cs="宋体"/>
              </w:rPr>
              <w:t>采购内容中所有</w:t>
            </w:r>
            <w:r>
              <w:rPr>
                <w:rFonts w:ascii="宋体" w:hAnsi="宋体" w:cs="宋体"/>
              </w:rPr>
              <w:t>货物</w:t>
            </w:r>
            <w:r>
              <w:rPr>
                <w:rFonts w:hint="eastAsia" w:ascii="宋体" w:hAnsi="宋体" w:cs="宋体"/>
              </w:rPr>
              <w:t>和</w:t>
            </w:r>
            <w:r>
              <w:rPr>
                <w:rFonts w:ascii="宋体" w:hAnsi="宋体" w:cs="宋体"/>
              </w:rPr>
              <w:t>服务的价格；</w:t>
            </w:r>
          </w:p>
          <w:p w14:paraId="020E3E98">
            <w:pPr>
              <w:rPr>
                <w:rFonts w:ascii="宋体" w:hAnsi="宋体" w:cs="宋体"/>
              </w:rPr>
            </w:pPr>
            <w:r>
              <w:rPr>
                <w:rFonts w:ascii="宋体" w:hAnsi="宋体" w:cs="宋体"/>
              </w:rPr>
              <w:t>2）货物的标准附件、备品备件、专用工具的价格；</w:t>
            </w:r>
          </w:p>
          <w:p w14:paraId="4E108498">
            <w:pPr>
              <w:rPr>
                <w:rFonts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ascii="宋体" w:hAnsi="宋体" w:cs="宋体"/>
              </w:rPr>
              <w:t>质保期内免费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0714E59E">
            <w:pPr>
              <w:rPr>
                <w:rFonts w:ascii="宋体" w:hAnsi="宋体" w:cs="宋体"/>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172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0E97E648">
            <w:pPr>
              <w:jc w:val="center"/>
              <w:rPr>
                <w:rFonts w:ascii="宋体" w:hAnsi="宋体"/>
                <w:b/>
                <w:bCs/>
                <w:color w:val="000000"/>
              </w:rPr>
            </w:pPr>
            <w:r>
              <w:rPr>
                <w:rFonts w:hint="eastAsia" w:ascii="宋体" w:hAnsi="宋体" w:cs="宋体"/>
                <w:b/>
                <w:bCs/>
              </w:rPr>
              <w:t>质保期</w:t>
            </w:r>
          </w:p>
        </w:tc>
        <w:tc>
          <w:tcPr>
            <w:tcW w:w="4393" w:type="pct"/>
            <w:gridSpan w:val="7"/>
            <w:noWrap w:val="0"/>
            <w:tcMar>
              <w:top w:w="13" w:type="dxa"/>
              <w:left w:w="57" w:type="dxa"/>
              <w:bottom w:w="0" w:type="dxa"/>
              <w:right w:w="57" w:type="dxa"/>
            </w:tcMar>
            <w:vAlign w:val="center"/>
          </w:tcPr>
          <w:p w14:paraId="489DB936">
            <w:pPr>
              <w:rPr>
                <w:rFonts w:ascii="宋体" w:hAnsi="宋体" w:cs="宋体"/>
              </w:rPr>
            </w:pPr>
            <w:r>
              <w:rPr>
                <w:rFonts w:ascii="宋体" w:hAnsi="宋体" w:cs="宋体"/>
                <w:b/>
              </w:rPr>
              <w:t>1.</w:t>
            </w:r>
            <w:r>
              <w:rPr>
                <w:rFonts w:hint="eastAsia" w:ascii="宋体" w:hAnsi="宋体" w:cs="宋体"/>
                <w:b/>
              </w:rPr>
              <w:t>质保期：</w:t>
            </w:r>
            <w:r>
              <w:rPr>
                <w:rFonts w:hint="eastAsia" w:ascii="宋体" w:hAnsi="宋体" w:cs="宋体"/>
                <w:b/>
                <w:highlight w:val="none"/>
                <w:u w:val="single"/>
                <w:lang w:val="en-US" w:eastAsia="zh-CN"/>
              </w:rPr>
              <w:t>5</w:t>
            </w:r>
            <w:bookmarkStart w:id="3" w:name="_GoBack"/>
            <w:bookmarkEnd w:id="3"/>
            <w:r>
              <w:rPr>
                <w:rFonts w:hint="eastAsia" w:ascii="宋体" w:hAnsi="宋体" w:cs="宋体"/>
                <w:b/>
                <w:highlight w:val="none"/>
                <w:u w:val="single"/>
                <w:lang w:val="en-US" w:eastAsia="zh-CN"/>
              </w:rPr>
              <w:t>年</w:t>
            </w:r>
            <w:r>
              <w:rPr>
                <w:rFonts w:hint="eastAsia" w:ascii="宋体" w:hAnsi="宋体" w:cs="宋体"/>
                <w:b/>
              </w:rPr>
              <w:t>。</w:t>
            </w:r>
            <w:r>
              <w:rPr>
                <w:rFonts w:hint="eastAsia" w:ascii="宋体" w:hAnsi="宋体" w:cs="宋体"/>
              </w:rPr>
              <w:t>（分项货物服务要求中有特别注明的，按特别注明的执行）</w:t>
            </w:r>
          </w:p>
          <w:p w14:paraId="14C9F8EB">
            <w:pPr>
              <w:rPr>
                <w:rFonts w:ascii="宋体" w:hAnsi="宋体"/>
                <w:color w:val="000000"/>
              </w:rPr>
            </w:pPr>
            <w:r>
              <w:rPr>
                <w:rFonts w:hint="eastAsia" w:ascii="宋体" w:hAnsi="宋体" w:cs="宋体"/>
              </w:rPr>
              <w:t>2.所有货物服务</w:t>
            </w:r>
            <w:r>
              <w:rPr>
                <w:rFonts w:ascii="宋体" w:hAnsi="宋体" w:cs="宋体"/>
              </w:rPr>
              <w:t>按</w:t>
            </w:r>
            <w:r>
              <w:rPr>
                <w:rFonts w:hint="eastAsia" w:ascii="宋体" w:hAnsi="宋体" w:cs="宋体"/>
              </w:rPr>
              <w:t>国家</w:t>
            </w:r>
            <w:r>
              <w:rPr>
                <w:rFonts w:ascii="宋体" w:hAnsi="宋体" w:cs="宋体"/>
              </w:rPr>
              <w:t>“三包”</w:t>
            </w:r>
            <w:r>
              <w:rPr>
                <w:rFonts w:hint="eastAsia" w:ascii="宋体" w:hAnsi="宋体" w:cs="宋体"/>
              </w:rPr>
              <w:t>有关</w:t>
            </w:r>
            <w:r>
              <w:rPr>
                <w:rFonts w:ascii="宋体" w:hAnsi="宋体" w:cs="宋体"/>
              </w:rPr>
              <w:t>规定执行“三包”</w:t>
            </w:r>
            <w:r>
              <w:rPr>
                <w:rFonts w:hint="eastAsia" w:ascii="宋体" w:hAnsi="宋体" w:cs="宋体"/>
              </w:rPr>
              <w:t>。质保期自交付验收合格之日起计算，质保期内提供上门维修、更换和软件升级服务；质保期结束后，提供终身维护，并优惠提供相关零配件。</w:t>
            </w:r>
          </w:p>
        </w:tc>
      </w:tr>
      <w:tr w14:paraId="4A9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5A015A9E">
            <w:pPr>
              <w:jc w:val="center"/>
              <w:rPr>
                <w:rFonts w:ascii="宋体" w:hAnsi="宋体" w:cs="宋体"/>
                <w:b/>
                <w:bCs/>
              </w:rPr>
            </w:pPr>
            <w:r>
              <w:rPr>
                <w:rFonts w:hint="eastAsia" w:ascii="宋体" w:hAnsi="宋体" w:cs="宋体"/>
                <w:b/>
                <w:bCs/>
              </w:rPr>
              <w:t>产品及售后服务要求</w:t>
            </w:r>
          </w:p>
        </w:tc>
        <w:tc>
          <w:tcPr>
            <w:tcW w:w="4393" w:type="pct"/>
            <w:gridSpan w:val="7"/>
            <w:noWrap w:val="0"/>
            <w:tcMar>
              <w:top w:w="13" w:type="dxa"/>
              <w:left w:w="57" w:type="dxa"/>
              <w:bottom w:w="0" w:type="dxa"/>
              <w:right w:w="57" w:type="dxa"/>
            </w:tcMar>
            <w:vAlign w:val="center"/>
          </w:tcPr>
          <w:p w14:paraId="4ECA9000">
            <w:pPr>
              <w:rPr>
                <w:rFonts w:ascii="宋体" w:hAnsi="宋体" w:cs="宋体"/>
              </w:rPr>
            </w:pPr>
            <w:r>
              <w:rPr>
                <w:rFonts w:ascii="宋体" w:hAnsi="宋体" w:cs="宋体"/>
              </w:rPr>
              <w:t>1.</w:t>
            </w:r>
            <w:r>
              <w:rPr>
                <w:rFonts w:hint="eastAsia" w:ascii="宋体" w:hAnsi="宋体" w:cs="宋体"/>
              </w:rPr>
              <w:t>成交人</w:t>
            </w:r>
            <w:r>
              <w:rPr>
                <w:rFonts w:ascii="宋体" w:hAnsi="宋体" w:cs="宋体"/>
              </w:rPr>
              <w:t>交付的所有</w:t>
            </w:r>
            <w:r>
              <w:rPr>
                <w:rFonts w:hint="eastAsia" w:ascii="宋体" w:hAnsi="宋体" w:cs="宋体"/>
                <w:b/>
              </w:rPr>
              <w:t>货物</w:t>
            </w:r>
            <w:r>
              <w:rPr>
                <w:rFonts w:ascii="宋体" w:hAnsi="宋体" w:cs="宋体"/>
              </w:rPr>
              <w:t>必须是签订合同之日</w:t>
            </w:r>
            <w:r>
              <w:rPr>
                <w:rFonts w:ascii="宋体" w:hAnsi="宋体" w:cs="宋体"/>
                <w:b/>
              </w:rPr>
              <w:t>前</w:t>
            </w:r>
            <w:r>
              <w:rPr>
                <w:rFonts w:hint="eastAsia" w:ascii="宋体" w:hAnsi="宋体" w:cs="宋体"/>
                <w:b/>
                <w:u w:val="single"/>
              </w:rPr>
              <w:t xml:space="preserve"> 半年 </w:t>
            </w:r>
            <w:r>
              <w:rPr>
                <w:rFonts w:ascii="宋体" w:hAnsi="宋体" w:cs="宋体"/>
              </w:rPr>
              <w:t>内生产的产品</w:t>
            </w:r>
            <w:r>
              <w:rPr>
                <w:rFonts w:hint="eastAsia" w:ascii="宋体" w:hAnsi="宋体" w:cs="宋体"/>
              </w:rPr>
              <w:t>，</w:t>
            </w:r>
            <w:r>
              <w:rPr>
                <w:rFonts w:ascii="宋体" w:hAnsi="宋体" w:cs="宋体"/>
              </w:rPr>
              <w:t>。</w:t>
            </w:r>
          </w:p>
          <w:p w14:paraId="590849F5">
            <w:pPr>
              <w:rPr>
                <w:rFonts w:ascii="宋体" w:hAnsi="宋体" w:cs="宋体"/>
                <w:b/>
              </w:rPr>
            </w:pPr>
            <w:r>
              <w:rPr>
                <w:rFonts w:hint="eastAsia" w:ascii="宋体" w:hAnsi="宋体" w:cs="宋体"/>
              </w:rPr>
              <w:t>2</w:t>
            </w:r>
            <w:r>
              <w:rPr>
                <w:rFonts w:ascii="宋体" w:hAnsi="宋体" w:cs="宋体"/>
              </w:rPr>
              <w:t>.</w:t>
            </w:r>
            <w:r>
              <w:rPr>
                <w:rFonts w:hint="eastAsia" w:ascii="宋体" w:hAnsi="宋体" w:cs="宋体"/>
              </w:rPr>
              <w:t>送货至采购人指定地点，协助进行安装场地设计，完成安装和调试。所有安装应符合国家、行业相关标准及规范。</w:t>
            </w:r>
            <w:r>
              <w:rPr>
                <w:rFonts w:hint="eastAsia" w:ascii="宋体" w:hAnsi="宋体" w:cs="宋体"/>
                <w:b/>
              </w:rPr>
              <w:t>（所有货物仅接受现场交付，不接受邮递）</w:t>
            </w:r>
          </w:p>
          <w:p w14:paraId="6B9667BB">
            <w:pPr>
              <w:rPr>
                <w:rFonts w:ascii="宋体" w:hAnsi="宋体" w:cs="宋体"/>
              </w:rPr>
            </w:pPr>
            <w:r>
              <w:rPr>
                <w:rFonts w:ascii="宋体" w:hAnsi="宋体" w:cs="宋体"/>
              </w:rPr>
              <w:t>3.为采购</w:t>
            </w:r>
            <w:r>
              <w:rPr>
                <w:rFonts w:hint="eastAsia" w:ascii="宋体" w:hAnsi="宋体" w:cs="宋体"/>
              </w:rPr>
              <w:t>人</w:t>
            </w:r>
            <w:r>
              <w:rPr>
                <w:rFonts w:ascii="宋体" w:hAnsi="宋体" w:cs="宋体"/>
              </w:rPr>
              <w:t>提供</w:t>
            </w:r>
            <w:r>
              <w:rPr>
                <w:rFonts w:hint="eastAsia" w:ascii="宋体" w:hAnsi="宋体" w:cs="宋体"/>
              </w:rPr>
              <w:t>产品</w:t>
            </w:r>
            <w:r>
              <w:rPr>
                <w:rFonts w:ascii="宋体" w:hAnsi="宋体" w:cs="宋体"/>
              </w:rPr>
              <w:t>操作</w:t>
            </w:r>
            <w:r>
              <w:rPr>
                <w:rFonts w:hint="eastAsia" w:ascii="宋体" w:hAnsi="宋体" w:cs="宋体"/>
              </w:rPr>
              <w:t>、维修、日常养护等方面的</w:t>
            </w:r>
            <w:r>
              <w:rPr>
                <w:rFonts w:ascii="宋体" w:hAnsi="宋体" w:cs="宋体"/>
              </w:rPr>
              <w:t>培训，确保</w:t>
            </w:r>
            <w:r>
              <w:rPr>
                <w:rFonts w:hint="eastAsia" w:ascii="宋体" w:hAnsi="宋体" w:cs="宋体"/>
              </w:rPr>
              <w:t>采购方使用人员</w:t>
            </w:r>
            <w:r>
              <w:rPr>
                <w:rFonts w:ascii="宋体" w:hAnsi="宋体" w:cs="宋体"/>
              </w:rPr>
              <w:t>能独立操作使用</w:t>
            </w:r>
            <w:r>
              <w:rPr>
                <w:rFonts w:hint="eastAsia" w:ascii="宋体" w:hAnsi="宋体" w:cs="宋体"/>
              </w:rPr>
              <w:t>，</w:t>
            </w:r>
            <w:r>
              <w:rPr>
                <w:rFonts w:ascii="宋体" w:hAnsi="宋体" w:cs="宋体"/>
              </w:rPr>
              <w:t>培训人数</w:t>
            </w:r>
            <w:r>
              <w:rPr>
                <w:rFonts w:hint="eastAsia" w:ascii="宋体" w:hAnsi="宋体" w:cs="宋体"/>
              </w:rPr>
              <w:t>、时间、地点等</w:t>
            </w:r>
            <w:r>
              <w:rPr>
                <w:rFonts w:ascii="宋体" w:hAnsi="宋体" w:cs="宋体"/>
              </w:rPr>
              <w:t>由采购</w:t>
            </w:r>
            <w:r>
              <w:rPr>
                <w:rFonts w:hint="eastAsia" w:ascii="宋体" w:hAnsi="宋体" w:cs="宋体"/>
              </w:rPr>
              <w:t>人指定</w:t>
            </w:r>
            <w:r>
              <w:rPr>
                <w:rFonts w:ascii="宋体" w:hAnsi="宋体" w:cs="宋体"/>
              </w:rPr>
              <w:t>。</w:t>
            </w:r>
          </w:p>
          <w:p w14:paraId="4FDCA367">
            <w:pPr>
              <w:rPr>
                <w:rFonts w:ascii="宋体" w:hAnsi="宋体" w:cs="宋体"/>
              </w:rPr>
            </w:pPr>
            <w:r>
              <w:rPr>
                <w:rFonts w:ascii="宋体" w:hAnsi="宋体" w:cs="宋体"/>
              </w:rPr>
              <w:t>4.故障响应时间：在使用过程中</w:t>
            </w:r>
            <w:r>
              <w:rPr>
                <w:rFonts w:hint="eastAsia" w:ascii="宋体" w:hAnsi="宋体" w:cs="宋体"/>
              </w:rPr>
              <w:t>出现</w:t>
            </w:r>
            <w:r>
              <w:rPr>
                <w:rFonts w:ascii="宋体" w:hAnsi="宋体" w:cs="宋体"/>
              </w:rPr>
              <w:t>质量问题，</w:t>
            </w:r>
            <w:r>
              <w:rPr>
                <w:rFonts w:hint="eastAsia" w:ascii="宋体" w:hAnsi="宋体" w:cs="宋体"/>
              </w:rPr>
              <w:t>成交人</w:t>
            </w:r>
            <w:r>
              <w:rPr>
                <w:rFonts w:ascii="宋体" w:hAnsi="宋体" w:cs="宋体"/>
              </w:rPr>
              <w:t>在接到</w:t>
            </w:r>
            <w:r>
              <w:rPr>
                <w:rFonts w:hint="eastAsia" w:ascii="宋体" w:hAnsi="宋体" w:cs="宋体"/>
              </w:rPr>
              <w:t>采购人</w:t>
            </w:r>
            <w:r>
              <w:rPr>
                <w:rFonts w:ascii="宋体" w:hAnsi="宋体" w:cs="宋体"/>
              </w:rPr>
              <w:t>通知后1小时</w:t>
            </w:r>
            <w:r>
              <w:rPr>
                <w:rFonts w:hint="eastAsia" w:ascii="宋体" w:hAnsi="宋体" w:cs="宋体"/>
              </w:rPr>
              <w:t>作出</w:t>
            </w:r>
            <w:r>
              <w:rPr>
                <w:rFonts w:ascii="宋体" w:hAnsi="宋体" w:cs="宋体"/>
              </w:rPr>
              <w:t>响应</w:t>
            </w:r>
            <w:r>
              <w:rPr>
                <w:rFonts w:hint="eastAsia" w:ascii="宋体" w:hAnsi="宋体" w:cs="宋体"/>
              </w:rPr>
              <w:t>；如需到达现场解决的，在</w:t>
            </w:r>
            <w:r>
              <w:rPr>
                <w:rFonts w:ascii="宋体" w:hAnsi="宋体" w:cs="宋体"/>
              </w:rPr>
              <w:t>8小时内</w:t>
            </w:r>
            <w:r>
              <w:rPr>
                <w:rFonts w:hint="eastAsia" w:ascii="宋体" w:hAnsi="宋体" w:cs="宋体"/>
              </w:rPr>
              <w:t>应</w:t>
            </w:r>
            <w:r>
              <w:rPr>
                <w:rFonts w:ascii="宋体" w:hAnsi="宋体" w:cs="宋体"/>
              </w:rPr>
              <w:t>到达现场。</w:t>
            </w:r>
          </w:p>
          <w:p w14:paraId="27CCD28C">
            <w:pPr>
              <w:rPr>
                <w:rFonts w:ascii="宋体" w:hAnsi="宋体" w:cs="宋体"/>
              </w:rPr>
            </w:pPr>
            <w:r>
              <w:rPr>
                <w:rFonts w:ascii="宋体" w:hAnsi="宋体" w:cs="宋体"/>
              </w:rPr>
              <w:t>5.</w:t>
            </w:r>
            <w:r>
              <w:rPr>
                <w:rFonts w:hint="eastAsia" w:ascii="宋体" w:hAnsi="宋体" w:cs="宋体"/>
              </w:rPr>
              <w:t>成交人须遵守校园出入规定，在供货、安装过程中确保相关人员安全。</w:t>
            </w:r>
            <w:r>
              <w:rPr>
                <w:rFonts w:ascii="宋体" w:hAnsi="宋体" w:cs="宋体"/>
              </w:rPr>
              <w:t>供货</w:t>
            </w:r>
            <w:r>
              <w:rPr>
                <w:rFonts w:hint="eastAsia" w:ascii="宋体" w:hAnsi="宋体" w:cs="宋体"/>
              </w:rPr>
              <w:t>、</w:t>
            </w:r>
            <w:r>
              <w:rPr>
                <w:rFonts w:ascii="宋体" w:hAnsi="宋体" w:cs="宋体"/>
              </w:rPr>
              <w:t>安装过程中产生的残留物或垃圾，</w:t>
            </w:r>
            <w:r>
              <w:rPr>
                <w:rFonts w:hint="eastAsia" w:ascii="宋体" w:hAnsi="宋体" w:cs="宋体"/>
              </w:rPr>
              <w:t>成交人需</w:t>
            </w:r>
            <w:r>
              <w:rPr>
                <w:rFonts w:ascii="宋体" w:hAnsi="宋体" w:cs="宋体"/>
              </w:rPr>
              <w:t>自行清理至校外。</w:t>
            </w:r>
          </w:p>
        </w:tc>
      </w:tr>
      <w:tr w14:paraId="130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606" w:type="pct"/>
            <w:gridSpan w:val="2"/>
            <w:noWrap w:val="0"/>
            <w:tcMar>
              <w:top w:w="13" w:type="dxa"/>
              <w:left w:w="57" w:type="dxa"/>
              <w:bottom w:w="0" w:type="dxa"/>
              <w:right w:w="57" w:type="dxa"/>
            </w:tcMar>
            <w:vAlign w:val="center"/>
          </w:tcPr>
          <w:p w14:paraId="76D4E804">
            <w:pPr>
              <w:jc w:val="center"/>
              <w:rPr>
                <w:rFonts w:ascii="宋体" w:hAnsi="宋体"/>
                <w:b/>
                <w:bCs/>
                <w:color w:val="000000"/>
              </w:rPr>
            </w:pPr>
            <w:r>
              <w:rPr>
                <w:rFonts w:hint="eastAsia" w:ascii="宋体" w:hAnsi="宋体" w:cs="宋体"/>
                <w:b/>
                <w:bCs/>
              </w:rPr>
              <w:t>交付时间</w:t>
            </w:r>
          </w:p>
        </w:tc>
        <w:tc>
          <w:tcPr>
            <w:tcW w:w="4393" w:type="pct"/>
            <w:gridSpan w:val="7"/>
            <w:noWrap w:val="0"/>
            <w:tcMar>
              <w:top w:w="13" w:type="dxa"/>
              <w:left w:w="57" w:type="dxa"/>
              <w:bottom w:w="0" w:type="dxa"/>
              <w:right w:w="57" w:type="dxa"/>
            </w:tcMar>
            <w:vAlign w:val="center"/>
          </w:tcPr>
          <w:p w14:paraId="7B72BEAF">
            <w:pPr>
              <w:rPr>
                <w:rFonts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hint="eastAsia" w:ascii="宋体" w:hAnsi="宋体" w:cs="宋体"/>
                <w:b/>
                <w:spacing w:val="-2"/>
                <w:u w:val="single"/>
              </w:rPr>
              <w:t xml:space="preserve">    </w:t>
            </w:r>
            <w:r>
              <w:rPr>
                <w:rFonts w:hint="eastAsia" w:ascii="宋体" w:hAnsi="宋体" w:cs="宋体"/>
                <w:b/>
                <w:spacing w:val="-2"/>
                <w:u w:val="single"/>
                <w:lang w:val="en-US" w:eastAsia="zh-CN"/>
              </w:rPr>
              <w:t>3</w:t>
            </w:r>
            <w:r>
              <w:rPr>
                <w:rFonts w:hint="eastAsia" w:ascii="宋体" w:hAnsi="宋体" w:cs="宋体"/>
                <w:b/>
                <w:spacing w:val="-2"/>
                <w:u w:val="single"/>
              </w:rPr>
              <w:t xml:space="preserve">0日内   </w:t>
            </w:r>
            <w:r>
              <w:rPr>
                <w:rFonts w:hint="eastAsia" w:ascii="宋体" w:hAnsi="宋体" w:cs="宋体"/>
                <w:spacing w:val="-2"/>
              </w:rPr>
              <w:t>全部交付完成并验收合格。</w:t>
            </w:r>
          </w:p>
          <w:p w14:paraId="076CC482">
            <w:pPr>
              <w:rPr>
                <w:rFonts w:ascii="宋体" w:hAnsi="宋体"/>
                <w:color w:val="000000"/>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lang w:val="en-US" w:eastAsia="zh-CN"/>
              </w:rPr>
              <w:t>中医药</w:t>
            </w:r>
            <w:r>
              <w:rPr>
                <w:rFonts w:hint="eastAsia" w:ascii="宋体" w:hAnsi="宋体" w:cs="宋体"/>
              </w:rPr>
              <w:t>大学</w:t>
            </w:r>
            <w:r>
              <w:rPr>
                <w:rFonts w:ascii="宋体" w:hAnsi="宋体" w:cs="宋体"/>
              </w:rPr>
              <w:t>。</w:t>
            </w:r>
          </w:p>
        </w:tc>
      </w:tr>
      <w:tr w14:paraId="211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E83248E">
            <w:pPr>
              <w:rPr>
                <w:rFonts w:ascii="宋体" w:hAnsi="宋体" w:cs="宋体"/>
              </w:rPr>
            </w:pPr>
            <w:r>
              <w:rPr>
                <w:rFonts w:hint="eastAsia" w:ascii="宋体" w:hAnsi="宋体"/>
                <w:b/>
                <w:bCs/>
                <w:color w:val="000000"/>
              </w:rPr>
              <w:t>三、其它要求</w:t>
            </w:r>
          </w:p>
        </w:tc>
      </w:tr>
      <w:tr w14:paraId="6FC1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0" w:type="pct"/>
            <w:gridSpan w:val="9"/>
            <w:noWrap w:val="0"/>
            <w:tcMar>
              <w:top w:w="13" w:type="dxa"/>
              <w:left w:w="57" w:type="dxa"/>
              <w:bottom w:w="0" w:type="dxa"/>
              <w:right w:w="57" w:type="dxa"/>
            </w:tcMar>
            <w:vAlign w:val="center"/>
          </w:tcPr>
          <w:p w14:paraId="562D8478">
            <w:pPr>
              <w:rPr>
                <w:rFonts w:ascii="宋体" w:hAnsi="宋体" w:cs="宋体"/>
              </w:rPr>
            </w:pPr>
            <w:r>
              <w:rPr>
                <w:rFonts w:hint="eastAsia" w:ascii="宋体" w:hAnsi="宋体" w:cs="宋体"/>
                <w:color w:val="FF0000"/>
              </w:rPr>
              <w:t>（填写其他补充事项）</w:t>
            </w:r>
          </w:p>
        </w:tc>
      </w:tr>
    </w:tbl>
    <w:p w14:paraId="21ACB7AD">
      <w:pPr>
        <w:rPr>
          <w:rFonts w:ascii="宋体" w:hAnsi="宋体" w:cs="仿宋"/>
          <w:bCs/>
          <w:color w:val="000000"/>
        </w:rPr>
      </w:pPr>
      <w:r>
        <w:rPr>
          <w:rFonts w:hint="eastAsia" w:ascii="宋体" w:hAnsi="宋体" w:cs="仿宋"/>
          <w:color w:val="000000"/>
          <w:sz w:val="18"/>
        </w:rPr>
        <w:t>注：所有价格均用人民币表示，单位为元，精确到小数点后两位。</w:t>
      </w:r>
    </w:p>
    <w:p w14:paraId="5E27CFD2">
      <w:pPr>
        <w:spacing w:line="460" w:lineRule="exact"/>
        <w:rPr>
          <w:rFonts w:ascii="宋体" w:hAnsi="宋体" w:cs="仿宋"/>
          <w:bCs/>
          <w:color w:val="000000"/>
        </w:rPr>
      </w:pPr>
    </w:p>
    <w:p w14:paraId="01860F6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56DFAB6F">
      <w:pPr>
        <w:spacing w:line="360" w:lineRule="auto"/>
        <w:ind w:left="10" w:leftChars="5" w:firstLine="554" w:firstLineChars="198"/>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6D916B5E">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35B2FE3">
      <w:pPr>
        <w:spacing w:line="360" w:lineRule="auto"/>
        <w:ind w:left="10" w:leftChars="5" w:firstLine="554" w:firstLineChars="198"/>
        <w:rPr>
          <w:rFonts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0395909A">
      <w:pPr>
        <w:spacing w:line="360" w:lineRule="auto"/>
        <w:rPr>
          <w:rFonts w:ascii="宋体" w:hAnsi="宋体" w:cs="宋体"/>
          <w:sz w:val="28"/>
          <w:szCs w:val="28"/>
        </w:rPr>
      </w:pPr>
    </w:p>
    <w:p w14:paraId="32932B66">
      <w:pPr>
        <w:spacing w:line="360" w:lineRule="auto"/>
        <w:ind w:left="10" w:leftChars="1" w:hanging="8" w:hangingChars="3"/>
        <w:jc w:val="cente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2A60D885">
      <w:pPr>
        <w:pStyle w:val="2"/>
        <w:keepNext w:val="0"/>
        <w:keepLines w:val="0"/>
        <w:widowControl/>
        <w:suppressLineNumbers w:val="0"/>
        <w:spacing w:line="420" w:lineRule="atLeast"/>
        <w:jc w:val="left"/>
        <w:rPr>
          <w:rFonts w:hint="eastAsia" w:ascii="微软雅黑" w:hAnsi="微软雅黑" w:eastAsia="微软雅黑" w:cs="微软雅黑"/>
          <w:i w:val="0"/>
          <w:iCs w:val="0"/>
          <w:caps w:val="0"/>
          <w:color w:val="000000"/>
          <w:spacing w:val="0"/>
          <w:sz w:val="24"/>
          <w:szCs w:val="24"/>
        </w:rPr>
      </w:pPr>
    </w:p>
    <w:p w14:paraId="5E59CF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A7808"/>
    <w:multiLevelType w:val="singleLevel"/>
    <w:tmpl w:val="027A7808"/>
    <w:lvl w:ilvl="0" w:tentative="0">
      <w:start w:val="1"/>
      <w:numFmt w:val="decimal"/>
      <w:lvlText w:val="%1."/>
      <w:lvlJc w:val="left"/>
      <w:pPr>
        <w:tabs>
          <w:tab w:val="left" w:pos="312"/>
        </w:tabs>
      </w:pPr>
    </w:lvl>
  </w:abstractNum>
  <w:abstractNum w:abstractNumId="1">
    <w:nsid w:val="50EAA193"/>
    <w:multiLevelType w:val="singleLevel"/>
    <w:tmpl w:val="50EAA19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3420E7B"/>
    <w:rsid w:val="083A0C0C"/>
    <w:rsid w:val="09A1725A"/>
    <w:rsid w:val="13623FB2"/>
    <w:rsid w:val="221A36F4"/>
    <w:rsid w:val="25D65498"/>
    <w:rsid w:val="346858E8"/>
    <w:rsid w:val="36E235B7"/>
    <w:rsid w:val="3B6C16D9"/>
    <w:rsid w:val="486B3145"/>
    <w:rsid w:val="4F311AFC"/>
    <w:rsid w:val="6C2C4154"/>
    <w:rsid w:val="7738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3625</Words>
  <Characters>4337</Characters>
  <Lines>0</Lines>
  <Paragraphs>0</Paragraphs>
  <TotalTime>8</TotalTime>
  <ScaleCrop>false</ScaleCrop>
  <LinksUpToDate>false</LinksUpToDate>
  <CharactersWithSpaces>4582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一次心</cp:lastModifiedBy>
  <dcterms:modified xsi:type="dcterms:W3CDTF">2026-03-09T13:23:51Z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87B5EEB113BC46FB97D3FC1E80A38779_13</vt:lpwstr>
  </property>
  <property fmtid="{D5CDD505-2E9C-101B-9397-08002B2CF9AE}" pid="4" name="KSOTemplateDocerSaveRecord">
    <vt:lpwstr>eyJoZGlkIjoiMjcxMDljNjJjYWRmNTRhNzE4ZWE5ZGY2ZDExY2EyOTEiLCJ1c2VySWQiOiI0Mjc1NTAxODIifQ==</vt:lpwstr>
  </property>
</Properties>
</file>