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485A4">
      <w:pPr>
        <w:pStyle w:val="2"/>
        <w:keepNext w:val="0"/>
        <w:keepLines w:val="0"/>
        <w:widowControl/>
        <w:suppressLineNumbers w:val="0"/>
        <w:spacing w:line="420" w:lineRule="atLeast"/>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      附件： </w:t>
      </w:r>
    </w:p>
    <w:p w14:paraId="1FD8185A">
      <w:pPr>
        <w:widowControl/>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需求征集明细表</w:t>
      </w:r>
    </w:p>
    <w:tbl>
      <w:tblPr>
        <w:tblStyle w:val="3"/>
        <w:tblpPr w:leftFromText="180" w:rightFromText="180" w:vertAnchor="text" w:horzAnchor="page" w:tblpXSpec="center" w:tblpY="469"/>
        <w:tblOverlap w:val="never"/>
        <w:tblW w:w="51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0"/>
        <w:gridCol w:w="496"/>
        <w:gridCol w:w="345"/>
        <w:gridCol w:w="1290"/>
        <w:gridCol w:w="3064"/>
        <w:gridCol w:w="540"/>
        <w:gridCol w:w="453"/>
        <w:gridCol w:w="952"/>
        <w:gridCol w:w="931"/>
      </w:tblGrid>
      <w:tr w14:paraId="53E8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9"/>
            <w:noWrap w:val="0"/>
            <w:tcMar>
              <w:top w:w="13" w:type="dxa"/>
              <w:left w:w="57" w:type="dxa"/>
              <w:bottom w:w="0" w:type="dxa"/>
              <w:right w:w="57" w:type="dxa"/>
            </w:tcMar>
            <w:vAlign w:val="center"/>
          </w:tcPr>
          <w:p w14:paraId="446758FD">
            <w:pPr>
              <w:rPr>
                <w:rFonts w:ascii="宋体" w:hAnsi="宋体" w:cs="仿宋_GB2312"/>
                <w:b/>
                <w:bCs/>
                <w:color w:val="000000"/>
                <w:kern w:val="0"/>
              </w:rPr>
            </w:pPr>
            <w:r>
              <w:rPr>
                <w:rFonts w:hint="eastAsia" w:ascii="宋体" w:hAnsi="宋体" w:cs="仿宋_GB2312"/>
                <w:b/>
                <w:bCs/>
                <w:color w:val="000000"/>
                <w:kern w:val="0"/>
              </w:rPr>
              <w:t>一、技术要求</w:t>
            </w:r>
          </w:p>
        </w:tc>
      </w:tr>
      <w:tr w14:paraId="231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8" w:type="pct"/>
            <w:noWrap w:val="0"/>
            <w:tcMar>
              <w:top w:w="13" w:type="dxa"/>
              <w:left w:w="57" w:type="dxa"/>
              <w:bottom w:w="0" w:type="dxa"/>
              <w:right w:w="57" w:type="dxa"/>
            </w:tcMar>
            <w:vAlign w:val="center"/>
          </w:tcPr>
          <w:p w14:paraId="653265CC">
            <w:pPr>
              <w:jc w:val="center"/>
              <w:rPr>
                <w:rFonts w:ascii="宋体" w:hAnsi="宋体"/>
                <w:b/>
                <w:bCs/>
                <w:color w:val="000000"/>
                <w:kern w:val="0"/>
              </w:rPr>
            </w:pPr>
            <w:r>
              <w:rPr>
                <w:rFonts w:hint="eastAsia" w:ascii="宋体" w:hAnsi="宋体"/>
                <w:b/>
                <w:bCs/>
                <w:color w:val="000000"/>
                <w:kern w:val="0"/>
              </w:rPr>
              <w:t>序号</w:t>
            </w:r>
          </w:p>
        </w:tc>
        <w:tc>
          <w:tcPr>
            <w:tcW w:w="487" w:type="pct"/>
            <w:gridSpan w:val="2"/>
            <w:noWrap w:val="0"/>
            <w:tcMar>
              <w:top w:w="13" w:type="dxa"/>
              <w:left w:w="57" w:type="dxa"/>
              <w:bottom w:w="0" w:type="dxa"/>
              <w:right w:w="57" w:type="dxa"/>
            </w:tcMar>
            <w:vAlign w:val="center"/>
          </w:tcPr>
          <w:p w14:paraId="1DE5EFD8">
            <w:pPr>
              <w:snapToGrid w:val="0"/>
              <w:jc w:val="center"/>
              <w:rPr>
                <w:rFonts w:ascii="宋体" w:hAnsi="宋体"/>
                <w:b/>
                <w:bCs/>
                <w:color w:val="000000"/>
              </w:rPr>
            </w:pPr>
            <w:r>
              <w:rPr>
                <w:rFonts w:hint="eastAsia" w:ascii="宋体" w:hAnsi="宋体"/>
                <w:b/>
                <w:bCs/>
                <w:color w:val="000000"/>
              </w:rPr>
              <w:t>采购内容</w:t>
            </w:r>
          </w:p>
        </w:tc>
        <w:tc>
          <w:tcPr>
            <w:tcW w:w="748" w:type="pct"/>
            <w:noWrap w:val="0"/>
            <w:tcMar>
              <w:top w:w="13" w:type="dxa"/>
              <w:left w:w="57" w:type="dxa"/>
              <w:bottom w:w="0" w:type="dxa"/>
              <w:right w:w="57" w:type="dxa"/>
            </w:tcMar>
            <w:vAlign w:val="center"/>
          </w:tcPr>
          <w:p w14:paraId="6DB1791C">
            <w:pPr>
              <w:snapToGrid w:val="0"/>
              <w:jc w:val="center"/>
              <w:rPr>
                <w:rFonts w:ascii="宋体" w:hAnsi="宋体"/>
                <w:b/>
                <w:bCs/>
                <w:color w:val="000000"/>
                <w:kern w:val="0"/>
              </w:rPr>
            </w:pPr>
            <w:r>
              <w:rPr>
                <w:rFonts w:hint="eastAsia" w:ascii="宋体" w:hAnsi="宋体"/>
                <w:b/>
                <w:bCs/>
                <w:color w:val="000000"/>
              </w:rPr>
              <w:t>品牌型号、生产厂家</w:t>
            </w:r>
          </w:p>
        </w:tc>
        <w:tc>
          <w:tcPr>
            <w:tcW w:w="1777" w:type="pct"/>
            <w:noWrap w:val="0"/>
            <w:tcMar>
              <w:top w:w="13" w:type="dxa"/>
              <w:left w:w="57" w:type="dxa"/>
              <w:bottom w:w="0" w:type="dxa"/>
              <w:right w:w="57" w:type="dxa"/>
            </w:tcMar>
            <w:vAlign w:val="center"/>
          </w:tcPr>
          <w:p w14:paraId="1ED71BA5">
            <w:pPr>
              <w:jc w:val="center"/>
              <w:rPr>
                <w:rFonts w:ascii="宋体" w:hAnsi="宋体"/>
                <w:b/>
                <w:bCs/>
                <w:color w:val="000000"/>
              </w:rPr>
            </w:pPr>
            <w:r>
              <w:rPr>
                <w:rFonts w:hint="eastAsia" w:ascii="宋体" w:hAnsi="宋体" w:cs="仿宋_GB2312"/>
                <w:b/>
                <w:bCs/>
                <w:color w:val="000000"/>
                <w:kern w:val="0"/>
              </w:rPr>
              <w:t>技术参数</w:t>
            </w:r>
          </w:p>
        </w:tc>
        <w:tc>
          <w:tcPr>
            <w:tcW w:w="313" w:type="pct"/>
            <w:noWrap w:val="0"/>
            <w:vAlign w:val="center"/>
          </w:tcPr>
          <w:p w14:paraId="76C6C11B">
            <w:pPr>
              <w:jc w:val="center"/>
              <w:rPr>
                <w:rFonts w:ascii="宋体" w:hAnsi="宋体" w:cs="仿宋_GB2312"/>
                <w:b/>
                <w:bCs/>
                <w:color w:val="000000"/>
                <w:kern w:val="0"/>
              </w:rPr>
            </w:pPr>
            <w:r>
              <w:rPr>
                <w:rFonts w:hint="eastAsia" w:ascii="宋体" w:hAnsi="宋体" w:cs="仿宋_GB2312"/>
                <w:b/>
                <w:bCs/>
                <w:color w:val="000000"/>
                <w:kern w:val="0"/>
              </w:rPr>
              <w:t>计量</w:t>
            </w:r>
          </w:p>
          <w:p w14:paraId="371418AF">
            <w:pPr>
              <w:jc w:val="center"/>
              <w:rPr>
                <w:rFonts w:ascii="宋体" w:hAnsi="宋体"/>
                <w:b/>
                <w:bCs/>
                <w:color w:val="000000"/>
              </w:rPr>
            </w:pPr>
            <w:r>
              <w:rPr>
                <w:rFonts w:hint="eastAsia" w:ascii="宋体" w:hAnsi="宋体" w:cs="仿宋_GB2312"/>
                <w:b/>
                <w:bCs/>
                <w:color w:val="000000"/>
                <w:kern w:val="0"/>
              </w:rPr>
              <w:t>单位</w:t>
            </w:r>
          </w:p>
        </w:tc>
        <w:tc>
          <w:tcPr>
            <w:tcW w:w="262" w:type="pct"/>
            <w:noWrap w:val="0"/>
            <w:vAlign w:val="center"/>
          </w:tcPr>
          <w:p w14:paraId="30B0098B">
            <w:pPr>
              <w:jc w:val="center"/>
              <w:rPr>
                <w:rFonts w:ascii="宋体" w:hAnsi="宋体"/>
                <w:b/>
                <w:bCs/>
                <w:color w:val="000000"/>
              </w:rPr>
            </w:pPr>
            <w:r>
              <w:rPr>
                <w:rFonts w:hint="eastAsia" w:ascii="宋体" w:hAnsi="宋体" w:cs="仿宋_GB2312"/>
                <w:b/>
                <w:bCs/>
                <w:color w:val="000000"/>
                <w:kern w:val="0"/>
              </w:rPr>
              <w:t>数量</w:t>
            </w:r>
          </w:p>
        </w:tc>
        <w:tc>
          <w:tcPr>
            <w:tcW w:w="552" w:type="pct"/>
            <w:noWrap w:val="0"/>
            <w:vAlign w:val="center"/>
          </w:tcPr>
          <w:p w14:paraId="0409E966">
            <w:pPr>
              <w:jc w:val="center"/>
              <w:rPr>
                <w:rFonts w:ascii="宋体" w:hAnsi="宋体" w:cs="仿宋_GB2312"/>
                <w:b/>
                <w:bCs/>
                <w:color w:val="000000"/>
                <w:kern w:val="0"/>
              </w:rPr>
            </w:pPr>
            <w:r>
              <w:rPr>
                <w:rFonts w:hint="eastAsia" w:ascii="宋体" w:hAnsi="宋体" w:cs="仿宋_GB2312"/>
                <w:b/>
                <w:bCs/>
                <w:color w:val="000000"/>
                <w:kern w:val="0"/>
              </w:rPr>
              <w:t>单价</w:t>
            </w:r>
          </w:p>
          <w:p w14:paraId="359650E4">
            <w:pPr>
              <w:jc w:val="center"/>
              <w:rPr>
                <w:rFonts w:ascii="宋体" w:hAnsi="宋体" w:cs="仿宋_GB2312"/>
                <w:b/>
                <w:bCs/>
                <w:color w:val="000000"/>
                <w:kern w:val="0"/>
              </w:rPr>
            </w:pPr>
            <w:r>
              <w:rPr>
                <w:rFonts w:hint="eastAsia" w:ascii="宋体" w:hAnsi="宋体" w:cs="仿宋_GB2312"/>
                <w:b/>
                <w:bCs/>
                <w:color w:val="000000"/>
                <w:kern w:val="0"/>
              </w:rPr>
              <w:t>（元）</w:t>
            </w:r>
          </w:p>
        </w:tc>
        <w:tc>
          <w:tcPr>
            <w:tcW w:w="539" w:type="pct"/>
            <w:noWrap w:val="0"/>
            <w:vAlign w:val="center"/>
          </w:tcPr>
          <w:p w14:paraId="5B55DA05">
            <w:pPr>
              <w:jc w:val="center"/>
              <w:rPr>
                <w:rFonts w:ascii="宋体" w:hAnsi="宋体" w:cs="仿宋_GB2312"/>
                <w:b/>
                <w:bCs/>
                <w:color w:val="000000"/>
                <w:kern w:val="0"/>
              </w:rPr>
            </w:pPr>
            <w:r>
              <w:rPr>
                <w:rFonts w:hint="eastAsia" w:ascii="宋体" w:hAnsi="宋体" w:cs="仿宋_GB2312"/>
                <w:b/>
                <w:bCs/>
                <w:color w:val="000000"/>
                <w:kern w:val="0"/>
              </w:rPr>
              <w:t>小计</w:t>
            </w:r>
          </w:p>
          <w:p w14:paraId="49C0784D">
            <w:pPr>
              <w:jc w:val="center"/>
              <w:rPr>
                <w:rFonts w:ascii="宋体" w:hAnsi="宋体" w:cs="仿宋_GB2312"/>
                <w:b/>
                <w:bCs/>
                <w:color w:val="000000"/>
                <w:kern w:val="0"/>
              </w:rPr>
            </w:pPr>
            <w:r>
              <w:rPr>
                <w:rFonts w:hint="eastAsia" w:ascii="宋体" w:hAnsi="宋体" w:cs="仿宋_GB2312"/>
                <w:b/>
                <w:bCs/>
                <w:color w:val="000000"/>
                <w:kern w:val="0"/>
              </w:rPr>
              <w:t>（元）</w:t>
            </w:r>
          </w:p>
        </w:tc>
      </w:tr>
      <w:tr w14:paraId="3B69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318" w:type="pct"/>
            <w:noWrap w:val="0"/>
            <w:tcMar>
              <w:top w:w="13" w:type="dxa"/>
              <w:left w:w="57" w:type="dxa"/>
              <w:bottom w:w="0" w:type="dxa"/>
              <w:right w:w="57" w:type="dxa"/>
            </w:tcMar>
            <w:vAlign w:val="center"/>
          </w:tcPr>
          <w:p w14:paraId="49221303">
            <w:pPr>
              <w:jc w:val="center"/>
              <w:rPr>
                <w:rFonts w:hint="default" w:ascii="宋体" w:hAnsi="宋体" w:cs="宋体" w:eastAsiaTheme="minorEastAsia"/>
                <w:color w:val="000000"/>
                <w:lang w:val="en-US" w:eastAsia="zh-CN"/>
              </w:rPr>
            </w:pPr>
            <w:bookmarkStart w:id="0" w:name="OLE_LINK6" w:colFirst="1" w:colLast="69"/>
            <w:bookmarkStart w:id="1" w:name="OLE_LINK5" w:colFirst="1" w:colLast="69"/>
            <w:bookmarkStart w:id="2" w:name="_Hlk199951007"/>
            <w:r>
              <w:rPr>
                <w:rFonts w:hint="eastAsia" w:ascii="宋体" w:hAnsi="宋体" w:cs="宋体"/>
                <w:color w:val="000000"/>
                <w:lang w:val="en-US" w:eastAsia="zh-CN"/>
              </w:rPr>
              <w:t>1</w:t>
            </w:r>
          </w:p>
        </w:tc>
        <w:tc>
          <w:tcPr>
            <w:tcW w:w="487" w:type="pct"/>
            <w:gridSpan w:val="2"/>
            <w:noWrap w:val="0"/>
            <w:tcMar>
              <w:top w:w="13" w:type="dxa"/>
              <w:left w:w="57" w:type="dxa"/>
              <w:bottom w:w="0" w:type="dxa"/>
              <w:right w:w="57" w:type="dxa"/>
            </w:tcMar>
            <w:vAlign w:val="center"/>
          </w:tcPr>
          <w:p w14:paraId="0A0B913D">
            <w:pPr>
              <w:jc w:val="center"/>
              <w:rPr>
                <w:rFonts w:ascii="宋体" w:hAnsi="宋体" w:cs="宋体"/>
                <w:color w:val="000000"/>
              </w:rPr>
            </w:pPr>
            <w:r>
              <w:rPr>
                <w:rFonts w:hint="eastAsia" w:ascii="宋体" w:hAnsi="宋体" w:cs="宋体"/>
                <w:color w:val="000000"/>
              </w:rPr>
              <w:t>全自动化3D类器官检测分析系统</w:t>
            </w:r>
          </w:p>
        </w:tc>
        <w:tc>
          <w:tcPr>
            <w:tcW w:w="748" w:type="pct"/>
            <w:noWrap w:val="0"/>
            <w:tcMar>
              <w:top w:w="13" w:type="dxa"/>
              <w:left w:w="57" w:type="dxa"/>
              <w:bottom w:w="0" w:type="dxa"/>
              <w:right w:w="57" w:type="dxa"/>
            </w:tcMar>
            <w:vAlign w:val="center"/>
          </w:tcPr>
          <w:p w14:paraId="4CC86A5A">
            <w:pPr>
              <w:numPr>
                <w:ilvl w:val="0"/>
                <w:numId w:val="1"/>
              </w:numPr>
              <w:jc w:val="left"/>
              <w:rPr>
                <w:rFonts w:hint="eastAsia" w:ascii="宋体" w:hAnsi="宋体" w:cs="宋体"/>
                <w:color w:val="000000"/>
              </w:rPr>
            </w:pPr>
            <w:r>
              <w:rPr>
                <w:rFonts w:hint="eastAsia" w:ascii="宋体" w:hAnsi="宋体" w:cs="宋体"/>
                <w:color w:val="000000"/>
              </w:rPr>
              <w:t>Revvity/Explorer G3</w:t>
            </w:r>
          </w:p>
          <w:p w14:paraId="5C94DC58">
            <w:pPr>
              <w:numPr>
                <w:ilvl w:val="0"/>
                <w:numId w:val="1"/>
              </w:numPr>
              <w:jc w:val="left"/>
              <w:rPr>
                <w:rFonts w:hint="eastAsia" w:ascii="宋体" w:hAnsi="宋体" w:cs="宋体"/>
                <w:color w:val="000000"/>
              </w:rPr>
            </w:pPr>
            <w:r>
              <w:rPr>
                <w:rFonts w:hint="eastAsia" w:ascii="宋体" w:hAnsi="宋体" w:cs="宋体"/>
                <w:color w:val="000000"/>
              </w:rPr>
              <w:t>CellInsight CX7 LZR PRO</w:t>
            </w:r>
          </w:p>
          <w:p w14:paraId="366350CF">
            <w:pPr>
              <w:numPr>
                <w:ilvl w:val="0"/>
                <w:numId w:val="1"/>
              </w:numPr>
              <w:jc w:val="left"/>
              <w:rPr>
                <w:rFonts w:hint="eastAsia" w:ascii="宋体" w:hAnsi="宋体" w:cs="宋体"/>
                <w:color w:val="000000"/>
              </w:rPr>
            </w:pPr>
            <w:r>
              <w:rPr>
                <w:rFonts w:hint="eastAsia" w:ascii="宋体" w:hAnsi="宋体" w:cs="宋体"/>
                <w:color w:val="000000"/>
              </w:rPr>
              <w:t xml:space="preserve">ImageXpress Confocol HT.ai  </w:t>
            </w:r>
          </w:p>
        </w:tc>
        <w:tc>
          <w:tcPr>
            <w:tcW w:w="1777" w:type="pct"/>
            <w:noWrap w:val="0"/>
            <w:tcMar>
              <w:top w:w="13" w:type="dxa"/>
              <w:left w:w="57" w:type="dxa"/>
              <w:bottom w:w="0" w:type="dxa"/>
              <w:right w:w="57" w:type="dxa"/>
            </w:tcMar>
            <w:vAlign w:val="center"/>
          </w:tcPr>
          <w:p w14:paraId="0D31CC2E">
            <w:pPr>
              <w:jc w:val="left"/>
              <w:rPr>
                <w:rFonts w:hint="eastAsia" w:ascii="宋体" w:hAnsi="宋体" w:cs="宋体"/>
                <w:color w:val="000000"/>
              </w:rPr>
            </w:pPr>
            <w:r>
              <w:rPr>
                <w:rFonts w:hint="eastAsia" w:ascii="宋体" w:hAnsi="宋体" w:cs="宋体"/>
                <w:color w:val="000000"/>
              </w:rPr>
              <w:t>技术参数</w:t>
            </w:r>
          </w:p>
          <w:p w14:paraId="31F2827C">
            <w:pPr>
              <w:jc w:val="left"/>
              <w:rPr>
                <w:rFonts w:hint="eastAsia" w:ascii="宋体" w:hAnsi="宋体" w:cs="宋体"/>
                <w:color w:val="000000"/>
              </w:rPr>
            </w:pPr>
            <w:r>
              <w:rPr>
                <w:rFonts w:hint="eastAsia" w:ascii="宋体" w:hAnsi="宋体" w:cs="宋体"/>
                <w:color w:val="000000"/>
              </w:rPr>
              <w:t>1、长时间及自动化控制部分技术参数</w:t>
            </w:r>
          </w:p>
          <w:p w14:paraId="11C8C611">
            <w:pPr>
              <w:jc w:val="left"/>
              <w:rPr>
                <w:rFonts w:hint="eastAsia" w:ascii="宋体" w:hAnsi="宋体" w:cs="宋体"/>
                <w:color w:val="000000"/>
              </w:rPr>
            </w:pPr>
            <w:r>
              <w:rPr>
                <w:rFonts w:hint="eastAsia" w:ascii="宋体" w:hAnsi="宋体" w:cs="宋体"/>
                <w:color w:val="000000"/>
              </w:rPr>
              <w:t>1.1. 系统主要组件，包括自动化二氧化碳培养箱、3D转盘共聚焦活细胞成像分析系统、自动化机械臂、条码扫描，多板位的储板架，中控及时序管理软件等。</w:t>
            </w:r>
          </w:p>
          <w:p w14:paraId="674ED01F">
            <w:pPr>
              <w:jc w:val="left"/>
              <w:rPr>
                <w:rFonts w:hint="eastAsia" w:ascii="宋体" w:hAnsi="宋体" w:cs="宋体"/>
                <w:color w:val="000000"/>
              </w:rPr>
            </w:pPr>
            <w:r>
              <w:rPr>
                <w:rFonts w:hint="eastAsia" w:ascii="宋体" w:hAnsi="宋体" w:cs="宋体"/>
                <w:color w:val="000000"/>
              </w:rPr>
              <w:t>1.2. 系统所配备中央控制软件，除可控制所有模块及被整合设备按照实验流程要求无缝平行运行外，还应具备时序管理软件，保证所有样品以最有效方式得到完全一致的处理，避免样品、批次间差异，并应能够支持多程序平行或者顺序运行。</w:t>
            </w:r>
          </w:p>
          <w:p w14:paraId="24213ABB">
            <w:pPr>
              <w:jc w:val="left"/>
              <w:rPr>
                <w:rFonts w:hint="eastAsia" w:ascii="宋体" w:hAnsi="宋体" w:cs="宋体"/>
                <w:color w:val="000000"/>
              </w:rPr>
            </w:pPr>
            <w:r>
              <w:rPr>
                <w:rFonts w:hint="eastAsia" w:ascii="宋体" w:hAnsi="宋体" w:cs="宋体"/>
                <w:color w:val="000000"/>
              </w:rPr>
              <w:t xml:space="preserve">▲1.3. 系统应通过协作式中控机器人集成所有组件及设备，该机器人手臂应≥3个可协同移动的关节，并辅以Z轴方向的移动，以达到直径≥1.0m、Z轴方向≥0.5m的覆盖。 </w:t>
            </w:r>
          </w:p>
          <w:p w14:paraId="60CFC079">
            <w:pPr>
              <w:jc w:val="left"/>
              <w:rPr>
                <w:rFonts w:hint="eastAsia" w:ascii="宋体" w:hAnsi="宋体" w:cs="宋体"/>
                <w:color w:val="000000"/>
              </w:rPr>
            </w:pPr>
            <w:r>
              <w:rPr>
                <w:rFonts w:hint="eastAsia" w:ascii="宋体" w:hAnsi="宋体" w:cs="宋体"/>
                <w:color w:val="000000"/>
              </w:rPr>
              <w:t>1.4. 移板手传感器可感知移板指端的状态（张开或闭合、移板手上是否持有微孔板等）。</w:t>
            </w:r>
          </w:p>
          <w:p w14:paraId="5509005C">
            <w:pPr>
              <w:jc w:val="left"/>
              <w:rPr>
                <w:rFonts w:hint="eastAsia" w:ascii="宋体" w:hAnsi="宋体" w:cs="宋体"/>
                <w:color w:val="000000"/>
              </w:rPr>
            </w:pPr>
            <w:r>
              <w:rPr>
                <w:rFonts w:hint="eastAsia" w:ascii="宋体" w:hAnsi="宋体" w:cs="宋体"/>
                <w:color w:val="000000"/>
              </w:rPr>
              <w:t>1.5. 系统配激光条码扫描功能，记录和跟踪实验流程、器具/样品及数据，联通全部被整合设备及模块。</w:t>
            </w:r>
          </w:p>
          <w:p w14:paraId="0DA38605">
            <w:pPr>
              <w:jc w:val="left"/>
              <w:rPr>
                <w:rFonts w:hint="eastAsia" w:ascii="宋体" w:hAnsi="宋体" w:cs="宋体"/>
                <w:color w:val="000000"/>
              </w:rPr>
            </w:pPr>
            <w:r>
              <w:rPr>
                <w:rFonts w:hint="eastAsia" w:ascii="宋体" w:hAnsi="宋体" w:cs="宋体"/>
                <w:color w:val="000000"/>
              </w:rPr>
              <w:t>1.6. 具备废弃物弃置及存放模块，废弃物可直接排放到系统外，有效控制污染风险。</w:t>
            </w:r>
          </w:p>
          <w:p w14:paraId="607AE7F8">
            <w:pPr>
              <w:jc w:val="left"/>
              <w:rPr>
                <w:rFonts w:hint="eastAsia" w:ascii="宋体" w:hAnsi="宋体" w:cs="宋体"/>
                <w:color w:val="000000"/>
              </w:rPr>
            </w:pPr>
            <w:r>
              <w:rPr>
                <w:rFonts w:hint="eastAsia" w:ascii="宋体" w:hAnsi="宋体" w:cs="宋体"/>
                <w:color w:val="000000"/>
              </w:rPr>
              <w:t>1.7. 通过拖-放的模块化移动方式编写程序，自动计划和运行所有的微孔板移动任务。能够支持多程序平行或者顺序运行，能够在操作过程中更改主要的运行参数并随即开始运行。</w:t>
            </w:r>
          </w:p>
          <w:p w14:paraId="75A0EF95">
            <w:pPr>
              <w:jc w:val="left"/>
              <w:rPr>
                <w:rFonts w:hint="eastAsia" w:ascii="宋体" w:hAnsi="宋体" w:cs="宋体"/>
                <w:color w:val="000000"/>
              </w:rPr>
            </w:pPr>
            <w:r>
              <w:rPr>
                <w:rFonts w:hint="eastAsia" w:ascii="宋体" w:hAnsi="宋体" w:cs="宋体"/>
                <w:color w:val="000000"/>
              </w:rPr>
              <w:t>1.8. 时序管理模块可显示计划运行的反应程序的预计操作时间、间隔时间等，以便用户插入或添加更多的程序，可按照自定义进度安排不同程序的执行。可远程控制平台所有整合设备。</w:t>
            </w:r>
          </w:p>
          <w:p w14:paraId="0B317C2C">
            <w:pPr>
              <w:jc w:val="left"/>
              <w:rPr>
                <w:rFonts w:hint="eastAsia" w:ascii="宋体" w:hAnsi="宋体" w:cs="宋体"/>
                <w:color w:val="000000"/>
              </w:rPr>
            </w:pPr>
            <w:r>
              <w:rPr>
                <w:rFonts w:hint="eastAsia" w:ascii="宋体" w:hAnsi="宋体" w:cs="宋体"/>
                <w:color w:val="000000"/>
              </w:rPr>
              <w:t>1.9. 具备高精度模拟运行功能及离线模式。模拟运行模式便于有效进行程序开发和优化；离线使用模式使客户能够在系统其他组分正在执行其他任务时，继续使用所支持的设备。</w:t>
            </w:r>
          </w:p>
          <w:p w14:paraId="5E1F537B">
            <w:pPr>
              <w:jc w:val="left"/>
              <w:rPr>
                <w:rFonts w:hint="eastAsia" w:ascii="宋体" w:hAnsi="宋体" w:cs="宋体"/>
                <w:color w:val="000000"/>
              </w:rPr>
            </w:pPr>
            <w:r>
              <w:rPr>
                <w:rFonts w:hint="eastAsia" w:ascii="宋体" w:hAnsi="宋体" w:cs="宋体"/>
                <w:color w:val="000000"/>
              </w:rPr>
              <w:t>1.10. 具备启动模式，可使程序在预设的时间启动或者由外部软件触发启动。</w:t>
            </w:r>
          </w:p>
          <w:p w14:paraId="6B29CF91">
            <w:pPr>
              <w:jc w:val="left"/>
              <w:rPr>
                <w:rFonts w:hint="eastAsia" w:ascii="宋体" w:hAnsi="宋体" w:cs="宋体"/>
                <w:color w:val="000000"/>
              </w:rPr>
            </w:pPr>
            <w:r>
              <w:rPr>
                <w:rFonts w:hint="eastAsia" w:ascii="宋体" w:hAnsi="宋体" w:cs="宋体"/>
                <w:color w:val="000000"/>
              </w:rPr>
              <w:t>1.11. 可个性化创建特异性的对话，可通过一个在独立的流程之前或之后执行的脚本文件，对重要的进程变量做适当反应。</w:t>
            </w:r>
          </w:p>
          <w:p w14:paraId="5A960680">
            <w:pPr>
              <w:jc w:val="left"/>
              <w:rPr>
                <w:rFonts w:hint="eastAsia" w:ascii="宋体" w:hAnsi="宋体" w:cs="宋体"/>
                <w:color w:val="000000"/>
              </w:rPr>
            </w:pPr>
            <w:r>
              <w:rPr>
                <w:rFonts w:hint="eastAsia" w:ascii="宋体" w:hAnsi="宋体" w:cs="宋体"/>
                <w:color w:val="000000"/>
              </w:rPr>
              <w:t>1.12. 精密的错误恢复方式（可选择重复, 继续, 忽略, 完成或者退出等各种模式)。</w:t>
            </w:r>
          </w:p>
          <w:p w14:paraId="2907A0C5">
            <w:pPr>
              <w:jc w:val="left"/>
              <w:rPr>
                <w:rFonts w:hint="eastAsia" w:ascii="宋体" w:hAnsi="宋体" w:cs="宋体"/>
                <w:color w:val="000000"/>
              </w:rPr>
            </w:pPr>
            <w:r>
              <w:rPr>
                <w:rFonts w:hint="eastAsia" w:ascii="宋体" w:hAnsi="宋体" w:cs="宋体"/>
                <w:color w:val="000000"/>
              </w:rPr>
              <w:t>1.13. 多板位储板架</w:t>
            </w:r>
          </w:p>
          <w:p w14:paraId="26F74472">
            <w:pPr>
              <w:jc w:val="left"/>
              <w:rPr>
                <w:rFonts w:hint="eastAsia" w:ascii="宋体" w:hAnsi="宋体" w:cs="宋体"/>
                <w:color w:val="000000"/>
              </w:rPr>
            </w:pPr>
            <w:r>
              <w:rPr>
                <w:rFonts w:hint="eastAsia" w:ascii="宋体" w:hAnsi="宋体" w:cs="宋体"/>
                <w:color w:val="000000"/>
              </w:rPr>
              <w:t>1.13.1 能够储存标准孔板，包括96、384、1536孔板；</w:t>
            </w:r>
          </w:p>
          <w:p w14:paraId="78628D40">
            <w:pPr>
              <w:jc w:val="left"/>
              <w:rPr>
                <w:rFonts w:hint="eastAsia" w:ascii="宋体" w:hAnsi="宋体" w:cs="宋体"/>
                <w:color w:val="000000"/>
              </w:rPr>
            </w:pPr>
            <w:r>
              <w:rPr>
                <w:rFonts w:hint="eastAsia" w:ascii="宋体" w:hAnsi="宋体" w:cs="宋体"/>
                <w:color w:val="000000"/>
              </w:rPr>
              <w:t>1.13.2 每个储板架能够放置≥14块标准微孔板；</w:t>
            </w:r>
          </w:p>
          <w:p w14:paraId="1EF5E918">
            <w:pPr>
              <w:jc w:val="left"/>
              <w:rPr>
                <w:rFonts w:hint="eastAsia" w:ascii="宋体" w:hAnsi="宋体" w:cs="宋体"/>
                <w:color w:val="000000"/>
              </w:rPr>
            </w:pPr>
            <w:r>
              <w:rPr>
                <w:rFonts w:hint="eastAsia" w:ascii="宋体" w:hAnsi="宋体" w:cs="宋体"/>
                <w:color w:val="000000"/>
              </w:rPr>
              <w:t>1.13.3 能够被自动化整合，并且协作式机器人手臂能自由取放微孔板。</w:t>
            </w:r>
          </w:p>
          <w:p w14:paraId="296DE8E7">
            <w:pPr>
              <w:jc w:val="left"/>
              <w:rPr>
                <w:rFonts w:hint="eastAsia" w:ascii="宋体" w:hAnsi="宋体" w:cs="宋体"/>
                <w:color w:val="000000"/>
              </w:rPr>
            </w:pPr>
            <w:r>
              <w:rPr>
                <w:rFonts w:hint="eastAsia" w:ascii="宋体" w:hAnsi="宋体" w:cs="宋体"/>
                <w:color w:val="000000"/>
              </w:rPr>
              <w:t>1.14. 自动化细胞培养箱</w:t>
            </w:r>
          </w:p>
          <w:p w14:paraId="0BE16D1C">
            <w:pPr>
              <w:jc w:val="left"/>
              <w:rPr>
                <w:rFonts w:hint="eastAsia" w:ascii="宋体" w:hAnsi="宋体" w:cs="宋体"/>
                <w:color w:val="000000"/>
              </w:rPr>
            </w:pPr>
            <w:r>
              <w:rPr>
                <w:rFonts w:hint="eastAsia" w:ascii="宋体" w:hAnsi="宋体" w:cs="宋体"/>
                <w:color w:val="000000"/>
              </w:rPr>
              <w:t>1.14.1 细胞自动培养系统温度控制范围：室温+10℃ - 50℃；</w:t>
            </w:r>
          </w:p>
          <w:p w14:paraId="36421297">
            <w:pPr>
              <w:jc w:val="left"/>
              <w:rPr>
                <w:rFonts w:hint="eastAsia" w:ascii="宋体" w:hAnsi="宋体" w:cs="宋体"/>
                <w:color w:val="000000"/>
              </w:rPr>
            </w:pPr>
            <w:r>
              <w:rPr>
                <w:rFonts w:hint="eastAsia" w:ascii="宋体" w:hAnsi="宋体" w:cs="宋体"/>
                <w:color w:val="000000"/>
              </w:rPr>
              <w:t>1.14.2 CO2浓度控制范围：0-20%；</w:t>
            </w:r>
          </w:p>
          <w:p w14:paraId="2765665A">
            <w:pPr>
              <w:jc w:val="left"/>
              <w:rPr>
                <w:rFonts w:hint="eastAsia" w:ascii="宋体" w:hAnsi="宋体" w:cs="宋体"/>
                <w:color w:val="000000"/>
              </w:rPr>
            </w:pPr>
            <w:r>
              <w:rPr>
                <w:rFonts w:hint="eastAsia" w:ascii="宋体" w:hAnsi="宋体" w:cs="宋体"/>
                <w:color w:val="000000"/>
              </w:rPr>
              <w:t>1.14.3 湿度控制范围：≥95% RH 37℃；</w:t>
            </w:r>
          </w:p>
          <w:p w14:paraId="5D60A4FC">
            <w:pPr>
              <w:jc w:val="left"/>
              <w:rPr>
                <w:rFonts w:hint="eastAsia" w:ascii="宋体" w:hAnsi="宋体" w:cs="宋体"/>
                <w:color w:val="000000"/>
              </w:rPr>
            </w:pPr>
            <w:r>
              <w:rPr>
                <w:rFonts w:hint="eastAsia" w:ascii="宋体" w:hAnsi="宋体" w:cs="宋体"/>
                <w:color w:val="000000"/>
              </w:rPr>
              <w:t>1.14.4 可以放置不少于42个SBS微孔板；</w:t>
            </w:r>
          </w:p>
          <w:p w14:paraId="4DAB17D1">
            <w:pPr>
              <w:jc w:val="left"/>
              <w:rPr>
                <w:rFonts w:hint="eastAsia" w:ascii="宋体" w:hAnsi="宋体" w:cs="宋体"/>
                <w:color w:val="000000"/>
              </w:rPr>
            </w:pPr>
            <w:r>
              <w:rPr>
                <w:rFonts w:hint="eastAsia" w:ascii="宋体" w:hAnsi="宋体" w:cs="宋体"/>
                <w:color w:val="000000"/>
              </w:rPr>
              <w:t>1.14.5 采用有效的灭菌程序减少细胞及微生物污染；</w:t>
            </w:r>
          </w:p>
          <w:p w14:paraId="770EF26B">
            <w:pPr>
              <w:jc w:val="left"/>
              <w:rPr>
                <w:rFonts w:hint="eastAsia" w:ascii="宋体" w:hAnsi="宋体" w:cs="宋体"/>
                <w:color w:val="000000"/>
              </w:rPr>
            </w:pPr>
            <w:r>
              <w:rPr>
                <w:rFonts w:hint="eastAsia" w:ascii="宋体" w:hAnsi="宋体" w:cs="宋体"/>
                <w:color w:val="000000"/>
              </w:rPr>
              <w:t>1.14.4 用于自动化实验中的细胞培养，自动化兼容，可与自动化机械臂整合，实现细胞培养及无菌处理操作一体化。</w:t>
            </w:r>
          </w:p>
          <w:p w14:paraId="3FA72772">
            <w:pPr>
              <w:jc w:val="left"/>
              <w:rPr>
                <w:rFonts w:hint="eastAsia" w:ascii="宋体" w:hAnsi="宋体" w:cs="宋体"/>
                <w:color w:val="000000"/>
              </w:rPr>
            </w:pPr>
            <w:r>
              <w:rPr>
                <w:rFonts w:hint="eastAsia" w:ascii="宋体" w:hAnsi="宋体" w:cs="宋体"/>
                <w:color w:val="000000"/>
              </w:rPr>
              <w:t>2. 3D转盘共聚焦活细胞成像分析系统部分</w:t>
            </w:r>
          </w:p>
          <w:p w14:paraId="67298F13">
            <w:pPr>
              <w:jc w:val="left"/>
              <w:rPr>
                <w:rFonts w:hint="eastAsia" w:ascii="宋体" w:hAnsi="宋体" w:cs="宋体"/>
                <w:color w:val="000000"/>
              </w:rPr>
            </w:pPr>
            <w:r>
              <w:rPr>
                <w:rFonts w:hint="eastAsia" w:ascii="宋体" w:hAnsi="宋体" w:cs="宋体"/>
                <w:color w:val="000000"/>
              </w:rPr>
              <w:t>2. 1.检测模式：具有宽场荧光成像、明场成像、明场无标记成像和共聚焦荧光成像四种检测模式。</w:t>
            </w:r>
          </w:p>
          <w:p w14:paraId="14F6E06E">
            <w:pPr>
              <w:jc w:val="left"/>
              <w:rPr>
                <w:rFonts w:hint="eastAsia" w:ascii="宋体" w:hAnsi="宋体" w:cs="宋体"/>
                <w:color w:val="000000"/>
              </w:rPr>
            </w:pPr>
            <w:r>
              <w:rPr>
                <w:rFonts w:hint="eastAsia" w:ascii="宋体" w:hAnsi="宋体" w:cs="宋体"/>
                <w:color w:val="000000"/>
              </w:rPr>
              <w:t>▲2. 2.仪器必须采用专业光路设计，光路一体化，一体机，具备暗箱设计且可在日光灯下直接操作，避免外接光路、外接光源、外置水泵、振动对活细胞成像稳定性的影响。一键开关设备，避免控制失误。</w:t>
            </w:r>
          </w:p>
          <w:p w14:paraId="604812B6">
            <w:pPr>
              <w:jc w:val="left"/>
              <w:rPr>
                <w:rFonts w:hint="eastAsia" w:ascii="宋体" w:hAnsi="宋体" w:cs="宋体"/>
                <w:color w:val="000000"/>
              </w:rPr>
            </w:pPr>
            <w:r>
              <w:rPr>
                <w:rFonts w:hint="eastAsia" w:ascii="宋体" w:hAnsi="宋体" w:cs="宋体"/>
                <w:color w:val="000000"/>
              </w:rPr>
              <w:t>2. 3.具备暗室实验进度指示灯显示实验进程。</w:t>
            </w:r>
          </w:p>
          <w:p w14:paraId="0F6FA7B2">
            <w:pPr>
              <w:jc w:val="left"/>
              <w:rPr>
                <w:rFonts w:hint="eastAsia" w:ascii="宋体" w:hAnsi="宋体" w:cs="宋体"/>
                <w:color w:val="000000"/>
              </w:rPr>
            </w:pPr>
            <w:r>
              <w:rPr>
                <w:rFonts w:hint="eastAsia" w:ascii="宋体" w:hAnsi="宋体" w:cs="宋体"/>
                <w:color w:val="000000"/>
              </w:rPr>
              <w:t>2. 4.光源：标配≥8波段固态高能量长寿命光源和≥700nm近红外LED 双光源系统。</w:t>
            </w:r>
          </w:p>
          <w:p w14:paraId="4821361A">
            <w:pPr>
              <w:jc w:val="left"/>
              <w:rPr>
                <w:rFonts w:hint="eastAsia" w:ascii="宋体" w:hAnsi="宋体" w:cs="宋体"/>
                <w:color w:val="000000"/>
              </w:rPr>
            </w:pPr>
            <w:r>
              <w:rPr>
                <w:rFonts w:hint="eastAsia" w:ascii="宋体" w:hAnsi="宋体" w:cs="宋体"/>
                <w:color w:val="000000"/>
              </w:rPr>
              <w:t xml:space="preserve">2. 5.荧光光源： </w:t>
            </w:r>
          </w:p>
          <w:p w14:paraId="40CD0741">
            <w:pPr>
              <w:jc w:val="left"/>
              <w:rPr>
                <w:rFonts w:hint="eastAsia" w:ascii="宋体" w:hAnsi="宋体" w:cs="宋体"/>
                <w:color w:val="000000"/>
              </w:rPr>
            </w:pPr>
            <w:r>
              <w:rPr>
                <w:rFonts w:hint="eastAsia" w:ascii="宋体" w:hAnsi="宋体" w:cs="宋体"/>
                <w:color w:val="000000"/>
              </w:rPr>
              <w:t>▲2. 5.1.光源类型: ≥8波段固态长寿命高能LED；</w:t>
            </w:r>
          </w:p>
          <w:p w14:paraId="59AC06D8">
            <w:pPr>
              <w:jc w:val="left"/>
              <w:rPr>
                <w:rFonts w:hint="eastAsia" w:ascii="宋体" w:hAnsi="宋体" w:cs="宋体"/>
                <w:color w:val="000000"/>
              </w:rPr>
            </w:pPr>
            <w:r>
              <w:rPr>
                <w:rFonts w:hint="eastAsia" w:ascii="宋体" w:hAnsi="宋体" w:cs="宋体"/>
                <w:color w:val="000000"/>
              </w:rPr>
              <w:t>2. 5.1.1光源设计：采用免光纤设计，一体化缜合，无外置部件；</w:t>
            </w:r>
          </w:p>
          <w:p w14:paraId="1D104895">
            <w:pPr>
              <w:jc w:val="left"/>
              <w:rPr>
                <w:rFonts w:hint="eastAsia" w:ascii="宋体" w:hAnsi="宋体" w:cs="宋体"/>
                <w:color w:val="000000"/>
              </w:rPr>
            </w:pPr>
            <w:r>
              <w:rPr>
                <w:rFonts w:hint="eastAsia" w:ascii="宋体" w:hAnsi="宋体" w:cs="宋体"/>
                <w:color w:val="000000"/>
              </w:rPr>
              <w:t>2. 5.1.2.激发波长：≤365nm, ≤405nm, ≤440nm, ≤475nm, ≤510nm, ≤550nm, ≤630nm, ≤660nm。</w:t>
            </w:r>
          </w:p>
          <w:p w14:paraId="190D60EB">
            <w:pPr>
              <w:jc w:val="left"/>
              <w:rPr>
                <w:rFonts w:hint="eastAsia" w:ascii="宋体" w:hAnsi="宋体" w:cs="宋体"/>
                <w:color w:val="000000"/>
              </w:rPr>
            </w:pPr>
            <w:r>
              <w:rPr>
                <w:rFonts w:hint="eastAsia" w:ascii="宋体" w:hAnsi="宋体" w:cs="宋体"/>
                <w:color w:val="000000"/>
              </w:rPr>
              <w:t>2. 5.2.明场光源：</w:t>
            </w:r>
          </w:p>
          <w:p w14:paraId="3AC4A570">
            <w:pPr>
              <w:jc w:val="left"/>
              <w:rPr>
                <w:rFonts w:hint="eastAsia" w:ascii="宋体" w:hAnsi="宋体" w:cs="宋体"/>
                <w:color w:val="000000"/>
              </w:rPr>
            </w:pPr>
            <w:r>
              <w:rPr>
                <w:rFonts w:hint="eastAsia" w:ascii="宋体" w:hAnsi="宋体" w:cs="宋体"/>
                <w:color w:val="000000"/>
              </w:rPr>
              <w:t>2. 5.2.1.光源类型：单波长LED 光源；</w:t>
            </w:r>
          </w:p>
          <w:p w14:paraId="67B2655A">
            <w:pPr>
              <w:jc w:val="left"/>
              <w:rPr>
                <w:rFonts w:hint="eastAsia" w:ascii="宋体" w:hAnsi="宋体" w:cs="宋体"/>
                <w:color w:val="000000"/>
              </w:rPr>
            </w:pPr>
            <w:r>
              <w:rPr>
                <w:rFonts w:hint="eastAsia" w:ascii="宋体" w:hAnsi="宋体" w:cs="宋体"/>
                <w:color w:val="000000"/>
              </w:rPr>
              <w:t>2. 5.2.2.波段：≥700nm；</w:t>
            </w:r>
          </w:p>
          <w:p w14:paraId="6CC3319C">
            <w:pPr>
              <w:jc w:val="left"/>
              <w:rPr>
                <w:rFonts w:hint="eastAsia" w:ascii="宋体" w:hAnsi="宋体" w:cs="宋体"/>
                <w:color w:val="000000"/>
              </w:rPr>
            </w:pPr>
            <w:r>
              <w:rPr>
                <w:rFonts w:hint="eastAsia" w:ascii="宋体" w:hAnsi="宋体" w:cs="宋体"/>
                <w:color w:val="000000"/>
              </w:rPr>
              <w:t>2. 5.2.3.可实现全息景深包围纹理成像，在无标记细胞成像中达到“0”背景超高信噪比（获得与荧光效果类似的暗背景高信噪比图像）。</w:t>
            </w:r>
          </w:p>
          <w:p w14:paraId="3F0F597C">
            <w:pPr>
              <w:jc w:val="left"/>
              <w:rPr>
                <w:rFonts w:hint="eastAsia" w:ascii="宋体" w:hAnsi="宋体" w:cs="宋体"/>
                <w:color w:val="000000"/>
              </w:rPr>
            </w:pPr>
            <w:r>
              <w:rPr>
                <w:rFonts w:hint="eastAsia" w:ascii="宋体" w:hAnsi="宋体" w:cs="宋体"/>
                <w:color w:val="000000"/>
              </w:rPr>
              <w:t>2. 6.共聚焦成像光路：</w:t>
            </w:r>
          </w:p>
          <w:p w14:paraId="1990544F">
            <w:pPr>
              <w:jc w:val="left"/>
              <w:rPr>
                <w:rFonts w:hint="eastAsia" w:ascii="宋体" w:hAnsi="宋体" w:cs="宋体"/>
                <w:color w:val="000000"/>
              </w:rPr>
            </w:pPr>
            <w:r>
              <w:rPr>
                <w:rFonts w:hint="eastAsia" w:ascii="宋体" w:hAnsi="宋体" w:cs="宋体"/>
                <w:color w:val="000000"/>
              </w:rPr>
              <w:t>2. 6.1.共聚焦类型：微孔阵列式转盘共聚焦；</w:t>
            </w:r>
          </w:p>
          <w:p w14:paraId="6EE9F266">
            <w:pPr>
              <w:jc w:val="left"/>
              <w:rPr>
                <w:rFonts w:hint="eastAsia" w:ascii="宋体" w:hAnsi="宋体" w:cs="宋体"/>
                <w:color w:val="000000"/>
              </w:rPr>
            </w:pPr>
            <w:r>
              <w:rPr>
                <w:rFonts w:hint="eastAsia" w:ascii="宋体" w:hAnsi="宋体" w:cs="宋体"/>
                <w:color w:val="000000"/>
              </w:rPr>
              <w:t>2. 6.2.针孔直径：≤55 µm；</w:t>
            </w:r>
          </w:p>
          <w:p w14:paraId="04C5B91B">
            <w:pPr>
              <w:jc w:val="left"/>
              <w:rPr>
                <w:rFonts w:hint="eastAsia" w:ascii="宋体" w:hAnsi="宋体" w:cs="宋体"/>
                <w:color w:val="000000"/>
              </w:rPr>
            </w:pPr>
            <w:r>
              <w:rPr>
                <w:rFonts w:hint="eastAsia" w:ascii="宋体" w:hAnsi="宋体" w:cs="宋体"/>
                <w:color w:val="000000"/>
              </w:rPr>
              <w:t>2. 6.3.转盘转速：≥1500rpm。</w:t>
            </w:r>
          </w:p>
          <w:p w14:paraId="5F9DE906">
            <w:pPr>
              <w:jc w:val="left"/>
              <w:rPr>
                <w:rFonts w:hint="eastAsia" w:ascii="宋体" w:hAnsi="宋体" w:cs="宋体"/>
                <w:color w:val="000000"/>
              </w:rPr>
            </w:pPr>
            <w:r>
              <w:rPr>
                <w:rFonts w:hint="eastAsia" w:ascii="宋体" w:hAnsi="宋体" w:cs="宋体"/>
                <w:color w:val="000000"/>
              </w:rPr>
              <w:t>2. 7.检测器：</w:t>
            </w:r>
          </w:p>
          <w:p w14:paraId="7478C1A0">
            <w:pPr>
              <w:jc w:val="left"/>
              <w:rPr>
                <w:rFonts w:hint="eastAsia" w:ascii="宋体" w:hAnsi="宋体" w:cs="宋体"/>
                <w:color w:val="000000"/>
              </w:rPr>
            </w:pPr>
            <w:r>
              <w:rPr>
                <w:rFonts w:hint="eastAsia" w:ascii="宋体" w:hAnsi="宋体" w:cs="宋体"/>
                <w:color w:val="000000"/>
              </w:rPr>
              <w:t>2. 7.1.检测器类型：高灵敏度高分辨率sCMOS相机；</w:t>
            </w:r>
          </w:p>
          <w:p w14:paraId="282B97C7">
            <w:pPr>
              <w:jc w:val="left"/>
              <w:rPr>
                <w:rFonts w:hint="eastAsia" w:ascii="宋体" w:hAnsi="宋体" w:cs="宋体"/>
                <w:color w:val="000000"/>
              </w:rPr>
            </w:pPr>
            <w:r>
              <w:rPr>
                <w:rFonts w:hint="eastAsia" w:ascii="宋体" w:hAnsi="宋体" w:cs="宋体"/>
                <w:color w:val="000000"/>
              </w:rPr>
              <w:t>2. 7.2.像素规格≥2160 x 2160  pixel；</w:t>
            </w:r>
          </w:p>
          <w:p w14:paraId="5003AA26">
            <w:pPr>
              <w:jc w:val="left"/>
              <w:rPr>
                <w:rFonts w:hint="eastAsia" w:ascii="宋体" w:hAnsi="宋体" w:cs="宋体"/>
                <w:color w:val="000000"/>
              </w:rPr>
            </w:pPr>
            <w:r>
              <w:rPr>
                <w:rFonts w:hint="eastAsia" w:ascii="宋体" w:hAnsi="宋体" w:cs="宋体"/>
                <w:color w:val="000000"/>
              </w:rPr>
              <w:t>2. 7.3.像素尺寸≥6.5 μm x 6.5 μm；</w:t>
            </w:r>
          </w:p>
          <w:p w14:paraId="14F7BA4E">
            <w:pPr>
              <w:jc w:val="left"/>
              <w:rPr>
                <w:rFonts w:hint="eastAsia" w:ascii="宋体" w:hAnsi="宋体" w:cs="宋体"/>
                <w:color w:val="000000"/>
              </w:rPr>
            </w:pPr>
            <w:r>
              <w:rPr>
                <w:rFonts w:hint="eastAsia" w:ascii="宋体" w:hAnsi="宋体" w:cs="宋体"/>
                <w:color w:val="000000"/>
              </w:rPr>
              <w:t>2. 7.4.具备荧光平场校正功能，配置标准在线校正与智慧在线校正多种模式。</w:t>
            </w:r>
          </w:p>
          <w:p w14:paraId="39A76934">
            <w:pPr>
              <w:jc w:val="left"/>
              <w:rPr>
                <w:rFonts w:hint="eastAsia" w:ascii="宋体" w:hAnsi="宋体" w:cs="宋体"/>
                <w:color w:val="000000"/>
              </w:rPr>
            </w:pPr>
            <w:r>
              <w:rPr>
                <w:rFonts w:hint="eastAsia" w:ascii="宋体" w:hAnsi="宋体" w:cs="宋体"/>
                <w:color w:val="000000"/>
              </w:rPr>
              <w:t>2. 8.发射滤光片</w:t>
            </w:r>
          </w:p>
          <w:p w14:paraId="775A934B">
            <w:pPr>
              <w:jc w:val="left"/>
              <w:rPr>
                <w:rFonts w:hint="eastAsia" w:ascii="宋体" w:hAnsi="宋体" w:cs="宋体"/>
                <w:color w:val="000000"/>
              </w:rPr>
            </w:pPr>
            <w:r>
              <w:rPr>
                <w:rFonts w:hint="eastAsia" w:ascii="宋体" w:hAnsi="宋体" w:cs="宋体"/>
                <w:color w:val="000000"/>
              </w:rPr>
              <w:t>2. 8.1.标配发射滤光片转轮：≥8孔位满载；</w:t>
            </w:r>
          </w:p>
          <w:p w14:paraId="308F4BB0">
            <w:pPr>
              <w:jc w:val="left"/>
              <w:rPr>
                <w:rFonts w:hint="eastAsia" w:ascii="宋体" w:hAnsi="宋体" w:cs="宋体"/>
                <w:color w:val="000000"/>
              </w:rPr>
            </w:pPr>
            <w:r>
              <w:rPr>
                <w:rFonts w:hint="eastAsia" w:ascii="宋体" w:hAnsi="宋体" w:cs="宋体"/>
                <w:color w:val="000000"/>
              </w:rPr>
              <w:t>2. 8.2.标配发射滤光片波段：430-500 nm；470-515nm; 500-550nm; 525-580nm; 570-650nm; 600-640nm; 655-760nm; 685-760nm；</w:t>
            </w:r>
          </w:p>
          <w:p w14:paraId="0E368717">
            <w:pPr>
              <w:jc w:val="left"/>
              <w:rPr>
                <w:rFonts w:hint="eastAsia" w:ascii="宋体" w:hAnsi="宋体" w:cs="宋体"/>
                <w:color w:val="000000"/>
              </w:rPr>
            </w:pPr>
            <w:r>
              <w:rPr>
                <w:rFonts w:hint="eastAsia" w:ascii="宋体" w:hAnsi="宋体" w:cs="宋体"/>
                <w:color w:val="000000"/>
              </w:rPr>
              <w:t>2. 8.3.配置读码器，支持条形码识别。</w:t>
            </w:r>
          </w:p>
          <w:p w14:paraId="6AA26AB7">
            <w:pPr>
              <w:jc w:val="left"/>
              <w:rPr>
                <w:rFonts w:hint="eastAsia" w:ascii="宋体" w:hAnsi="宋体" w:cs="宋体"/>
                <w:color w:val="000000"/>
              </w:rPr>
            </w:pPr>
            <w:r>
              <w:rPr>
                <w:rFonts w:hint="eastAsia" w:ascii="宋体" w:hAnsi="宋体" w:cs="宋体"/>
                <w:color w:val="000000"/>
              </w:rPr>
              <w:t>2. 9.二向色镜</w:t>
            </w:r>
          </w:p>
          <w:p w14:paraId="34D47AEF">
            <w:pPr>
              <w:jc w:val="left"/>
              <w:rPr>
                <w:rFonts w:hint="eastAsia" w:ascii="宋体" w:hAnsi="宋体" w:cs="宋体"/>
                <w:color w:val="000000"/>
              </w:rPr>
            </w:pPr>
            <w:r>
              <w:rPr>
                <w:rFonts w:hint="eastAsia" w:ascii="宋体" w:hAnsi="宋体" w:cs="宋体"/>
                <w:color w:val="000000"/>
              </w:rPr>
              <w:t>▲2. 9.1标配提供≥8孔位二向色镜转轮，与激发光源、发射光转轮一一对应；</w:t>
            </w:r>
          </w:p>
          <w:p w14:paraId="2FF56D25">
            <w:pPr>
              <w:jc w:val="left"/>
              <w:rPr>
                <w:rFonts w:hint="eastAsia" w:ascii="宋体" w:hAnsi="宋体" w:cs="宋体"/>
                <w:color w:val="000000"/>
              </w:rPr>
            </w:pPr>
            <w:r>
              <w:rPr>
                <w:rFonts w:hint="eastAsia" w:ascii="宋体" w:hAnsi="宋体" w:cs="宋体"/>
                <w:color w:val="000000"/>
              </w:rPr>
              <w:t>2. 9.2配置读码器，支持条形码识别。</w:t>
            </w:r>
          </w:p>
          <w:p w14:paraId="0F7FE873">
            <w:pPr>
              <w:jc w:val="left"/>
              <w:rPr>
                <w:rFonts w:hint="eastAsia" w:ascii="宋体" w:hAnsi="宋体" w:cs="宋体"/>
                <w:color w:val="000000"/>
              </w:rPr>
            </w:pPr>
            <w:r>
              <w:rPr>
                <w:rFonts w:hint="eastAsia" w:ascii="宋体" w:hAnsi="宋体" w:cs="宋体"/>
                <w:color w:val="000000"/>
              </w:rPr>
              <w:t>2. 10. 物镜</w:t>
            </w:r>
          </w:p>
          <w:p w14:paraId="7F78FE9C">
            <w:pPr>
              <w:jc w:val="left"/>
              <w:rPr>
                <w:rFonts w:hint="eastAsia" w:ascii="宋体" w:hAnsi="宋体" w:cs="宋体"/>
                <w:color w:val="000000"/>
              </w:rPr>
            </w:pPr>
            <w:r>
              <w:rPr>
                <w:rFonts w:hint="eastAsia" w:ascii="宋体" w:hAnsi="宋体" w:cs="宋体"/>
                <w:color w:val="000000"/>
              </w:rPr>
              <w:t>▲2. 10.1. ≥标配6位物镜转轮；</w:t>
            </w:r>
          </w:p>
          <w:p w14:paraId="5DD1E2B6">
            <w:pPr>
              <w:jc w:val="left"/>
              <w:rPr>
                <w:rFonts w:hint="eastAsia" w:ascii="宋体" w:hAnsi="宋体" w:cs="宋体"/>
                <w:color w:val="000000"/>
              </w:rPr>
            </w:pPr>
            <w:r>
              <w:rPr>
                <w:rFonts w:hint="eastAsia" w:ascii="宋体" w:hAnsi="宋体" w:cs="宋体"/>
                <w:color w:val="000000"/>
              </w:rPr>
              <w:t>2. 10.2.标配空气镜≥5X（N.A. ≥0.16），≥10X（N.A. ≥0.3），≥20X（N.A. ≥0.4）孔径或长工作距离物镜；</w:t>
            </w:r>
          </w:p>
          <w:p w14:paraId="67B6CB01">
            <w:pPr>
              <w:jc w:val="left"/>
              <w:rPr>
                <w:rFonts w:hint="eastAsia" w:ascii="宋体" w:hAnsi="宋体" w:cs="宋体"/>
                <w:color w:val="000000"/>
              </w:rPr>
            </w:pPr>
            <w:r>
              <w:rPr>
                <w:rFonts w:hint="eastAsia" w:ascii="宋体" w:hAnsi="宋体" w:cs="宋体"/>
                <w:color w:val="000000"/>
              </w:rPr>
              <w:t>▲2. 10.3.水镜：≥20X水镜（N.A. ≥1.00），≥60X水镜（N.A. ≥1.15） 高数值孔径水介质物镜同时配置高级疏水张力涂层；</w:t>
            </w:r>
          </w:p>
          <w:p w14:paraId="3DE4F2C8">
            <w:pPr>
              <w:jc w:val="left"/>
              <w:rPr>
                <w:rFonts w:hint="eastAsia" w:ascii="宋体" w:hAnsi="宋体" w:cs="宋体"/>
                <w:color w:val="000000"/>
              </w:rPr>
            </w:pPr>
            <w:r>
              <w:rPr>
                <w:rFonts w:hint="eastAsia" w:ascii="宋体" w:hAnsi="宋体" w:cs="宋体"/>
                <w:color w:val="000000"/>
              </w:rPr>
              <w:t>2. 10.4.配置读码器，支持条形码识别。</w:t>
            </w:r>
          </w:p>
          <w:p w14:paraId="51914A61">
            <w:pPr>
              <w:jc w:val="left"/>
              <w:rPr>
                <w:rFonts w:hint="eastAsia" w:ascii="宋体" w:hAnsi="宋体" w:cs="宋体"/>
                <w:color w:val="000000"/>
              </w:rPr>
            </w:pPr>
            <w:r>
              <w:rPr>
                <w:rFonts w:hint="eastAsia" w:ascii="宋体" w:hAnsi="宋体" w:cs="宋体"/>
                <w:color w:val="000000"/>
              </w:rPr>
              <w:t>▲2. 11.配置≥3孔位全角度全自动物镜补水循环系统，含电动水泵，补水管道，自动注水器。可实现整板的水镜高通量全自动扫描,需提供水镜三孔位安装图像及≥3通道水泵进出水管道及水泵和液体循环槽图像。</w:t>
            </w:r>
          </w:p>
          <w:p w14:paraId="54A58A9E">
            <w:pPr>
              <w:jc w:val="left"/>
              <w:rPr>
                <w:rFonts w:hint="eastAsia" w:ascii="宋体" w:hAnsi="宋体" w:cs="宋体"/>
                <w:color w:val="000000"/>
              </w:rPr>
            </w:pPr>
            <w:r>
              <w:rPr>
                <w:rFonts w:hint="eastAsia" w:ascii="宋体" w:hAnsi="宋体" w:cs="宋体"/>
                <w:color w:val="000000"/>
              </w:rPr>
              <w:t>2. 12. 具备明场无标记细胞分析模块</w:t>
            </w:r>
          </w:p>
          <w:p w14:paraId="2C2C634E">
            <w:pPr>
              <w:jc w:val="left"/>
              <w:rPr>
                <w:rFonts w:hint="eastAsia" w:ascii="宋体" w:hAnsi="宋体" w:cs="宋体"/>
                <w:color w:val="000000"/>
              </w:rPr>
            </w:pPr>
            <w:r>
              <w:rPr>
                <w:rFonts w:hint="eastAsia" w:ascii="宋体" w:hAnsi="宋体" w:cs="宋体"/>
                <w:color w:val="000000"/>
              </w:rPr>
              <w:t>2. 12.1.可利用近红外明场光源对无标记细胞实现“0”背景，荧光级别高信噪比成像（获取与荧光效果相似的黑背景亮信号灰度图像）；</w:t>
            </w:r>
          </w:p>
          <w:p w14:paraId="4C157D10">
            <w:pPr>
              <w:jc w:val="left"/>
              <w:rPr>
                <w:rFonts w:hint="eastAsia" w:ascii="宋体" w:hAnsi="宋体" w:cs="宋体"/>
                <w:color w:val="000000"/>
              </w:rPr>
            </w:pPr>
            <w:r>
              <w:rPr>
                <w:rFonts w:hint="eastAsia" w:ascii="宋体" w:hAnsi="宋体" w:cs="宋体"/>
                <w:color w:val="000000"/>
              </w:rPr>
              <w:t>2. 12.2.在无标记的条件下，完成细胞密度，计数，形态等分析；</w:t>
            </w:r>
          </w:p>
          <w:p w14:paraId="019FE422">
            <w:pPr>
              <w:jc w:val="left"/>
              <w:rPr>
                <w:rFonts w:hint="eastAsia" w:ascii="宋体" w:hAnsi="宋体" w:cs="宋体"/>
                <w:color w:val="000000"/>
              </w:rPr>
            </w:pPr>
            <w:r>
              <w:rPr>
                <w:rFonts w:hint="eastAsia" w:ascii="宋体" w:hAnsi="宋体" w:cs="宋体"/>
                <w:color w:val="000000"/>
              </w:rPr>
              <w:t>2. 12.3.可以实现对单细胞长时间的轨迹追踪，对单个细胞运动特性进行多参数分析；</w:t>
            </w:r>
          </w:p>
          <w:p w14:paraId="7996B690">
            <w:pPr>
              <w:jc w:val="left"/>
              <w:rPr>
                <w:rFonts w:hint="eastAsia" w:ascii="宋体" w:hAnsi="宋体" w:cs="宋体"/>
                <w:color w:val="000000"/>
              </w:rPr>
            </w:pPr>
            <w:r>
              <w:rPr>
                <w:rFonts w:hint="eastAsia" w:ascii="宋体" w:hAnsi="宋体" w:cs="宋体"/>
                <w:color w:val="000000"/>
              </w:rPr>
              <w:t>2. 12.4.具备多种数学模型模拟并识别细胞分裂过程不同形态特征，可以实现长时间培养细胞的世代分析。</w:t>
            </w:r>
          </w:p>
          <w:p w14:paraId="3E5D957A">
            <w:pPr>
              <w:jc w:val="left"/>
              <w:rPr>
                <w:rFonts w:hint="eastAsia" w:ascii="宋体" w:hAnsi="宋体" w:cs="宋体"/>
                <w:color w:val="000000"/>
              </w:rPr>
            </w:pPr>
            <w:r>
              <w:rPr>
                <w:rFonts w:hint="eastAsia" w:ascii="宋体" w:hAnsi="宋体" w:cs="宋体"/>
                <w:color w:val="000000"/>
              </w:rPr>
              <w:t>2. 13.具备全自动平场校正功能：无需任何人工干预，无需准备任何耗材和参考图像进行成像鱼眼效应矫正，提高细胞图像荧光定量的准确度，并且无需随环境变化（温度、湿度等）重新校正。（需提供不同模式矫正后图像效果及针对不同样本采集在线平场矫正参考图像）。</w:t>
            </w:r>
          </w:p>
          <w:p w14:paraId="1B6C036F">
            <w:pPr>
              <w:jc w:val="left"/>
              <w:rPr>
                <w:rFonts w:hint="eastAsia" w:ascii="宋体" w:hAnsi="宋体" w:cs="宋体"/>
                <w:color w:val="000000"/>
              </w:rPr>
            </w:pPr>
            <w:r>
              <w:rPr>
                <w:rFonts w:hint="eastAsia" w:ascii="宋体" w:hAnsi="宋体" w:cs="宋体"/>
                <w:color w:val="000000"/>
              </w:rPr>
              <w:t>2. 14.载物台：配置全自动磁悬浮载物台，步进精度≤50nm。适合所有标准的6-1536微孔板；支持用户自定义微孔板格式；可配载≥4片玻片适配器，进行组织切片或细胞爬片成像和分析。</w:t>
            </w:r>
          </w:p>
          <w:p w14:paraId="4526EBB8">
            <w:pPr>
              <w:jc w:val="left"/>
              <w:rPr>
                <w:rFonts w:hint="eastAsia" w:ascii="宋体" w:hAnsi="宋体" w:cs="宋体"/>
                <w:color w:val="000000"/>
              </w:rPr>
            </w:pPr>
            <w:r>
              <w:rPr>
                <w:rFonts w:hint="eastAsia" w:ascii="宋体" w:hAnsi="宋体" w:cs="宋体"/>
                <w:color w:val="000000"/>
              </w:rPr>
              <w:t>2. 15.配置便携式活细胞培养系统</w:t>
            </w:r>
          </w:p>
          <w:p w14:paraId="4840DF3F">
            <w:pPr>
              <w:jc w:val="left"/>
              <w:rPr>
                <w:rFonts w:hint="eastAsia" w:ascii="宋体" w:hAnsi="宋体" w:cs="宋体"/>
                <w:color w:val="000000"/>
              </w:rPr>
            </w:pPr>
            <w:r>
              <w:rPr>
                <w:rFonts w:hint="eastAsia" w:ascii="宋体" w:hAnsi="宋体" w:cs="宋体"/>
                <w:color w:val="000000"/>
              </w:rPr>
              <w:t>2. 15.1 CO2浓度设定：无需用户设置，默认5％，设定精度±0.5％，可根据客户需求调节不同浓度；</w:t>
            </w:r>
          </w:p>
          <w:p w14:paraId="196B7B93">
            <w:pPr>
              <w:jc w:val="left"/>
              <w:rPr>
                <w:rFonts w:hint="eastAsia" w:ascii="宋体" w:hAnsi="宋体" w:cs="宋体"/>
                <w:color w:val="000000"/>
              </w:rPr>
            </w:pPr>
            <w:r>
              <w:rPr>
                <w:rFonts w:hint="eastAsia" w:ascii="宋体" w:hAnsi="宋体" w:cs="宋体"/>
                <w:color w:val="000000"/>
              </w:rPr>
              <w:t>2. 15.2 二氧化碳气瓶：随机配备5个一次性气瓶，单个气瓶续航时间≥72h，φ18×82（mm），3/8-24UNF螺纹口，并设置二氧化碳检测装置，如气压及二氧化碳浓度异常，系统自动提供异常提醒并可提供处理方案；</w:t>
            </w:r>
          </w:p>
          <w:p w14:paraId="4FA5C298">
            <w:pPr>
              <w:jc w:val="left"/>
              <w:rPr>
                <w:rFonts w:hint="eastAsia" w:ascii="宋体" w:hAnsi="宋体" w:cs="宋体"/>
                <w:color w:val="000000"/>
              </w:rPr>
            </w:pPr>
            <w:r>
              <w:rPr>
                <w:rFonts w:hint="eastAsia" w:ascii="宋体" w:hAnsi="宋体" w:cs="宋体"/>
                <w:color w:val="000000"/>
              </w:rPr>
              <w:t>2. 15.3 温度控制范围：室温～37℃，默认设置37℃，设定精度±0.5℃，配备温度监测及异常提醒；</w:t>
            </w:r>
          </w:p>
          <w:p w14:paraId="7E364BB0">
            <w:pPr>
              <w:jc w:val="left"/>
              <w:rPr>
                <w:rFonts w:hint="eastAsia" w:ascii="宋体" w:hAnsi="宋体" w:cs="宋体"/>
                <w:color w:val="000000"/>
              </w:rPr>
            </w:pPr>
            <w:r>
              <w:rPr>
                <w:rFonts w:hint="eastAsia" w:ascii="宋体" w:hAnsi="宋体" w:cs="宋体"/>
                <w:color w:val="000000"/>
              </w:rPr>
              <w:t>2. 15.4 系统自动检测并提供异常报警：温度/浓度/电量/气压检测及异常报警；</w:t>
            </w:r>
          </w:p>
          <w:p w14:paraId="4B6F89FC">
            <w:pPr>
              <w:jc w:val="left"/>
              <w:rPr>
                <w:rFonts w:hint="eastAsia" w:ascii="宋体" w:hAnsi="宋体" w:cs="宋体"/>
                <w:color w:val="000000"/>
              </w:rPr>
            </w:pPr>
            <w:r>
              <w:rPr>
                <w:rFonts w:hint="eastAsia" w:ascii="宋体" w:hAnsi="宋体" w:cs="宋体"/>
                <w:color w:val="000000"/>
              </w:rPr>
              <w:t>2. 15.5 操作及显示：2.4”触控屏，操作简单，无需连接电脑；</w:t>
            </w:r>
          </w:p>
          <w:p w14:paraId="2F31BA9B">
            <w:pPr>
              <w:jc w:val="left"/>
              <w:rPr>
                <w:rFonts w:hint="eastAsia" w:ascii="宋体" w:hAnsi="宋体" w:cs="宋体"/>
                <w:color w:val="000000"/>
              </w:rPr>
            </w:pPr>
            <w:r>
              <w:rPr>
                <w:rFonts w:hint="eastAsia" w:ascii="宋体" w:hAnsi="宋体" w:cs="宋体"/>
                <w:color w:val="000000"/>
              </w:rPr>
              <w:t>2. 15.6 内置电池：可充电锂电池，25.2V/5000mAh，电池续航时间：续航时间≥30h，可选配移动电源，续航时间≥60h，更可选接充电器及车载式充电器，满足不同场景下携带及电池续航的需求；</w:t>
            </w:r>
          </w:p>
          <w:p w14:paraId="2DEC67FE">
            <w:pPr>
              <w:jc w:val="left"/>
              <w:rPr>
                <w:rFonts w:hint="eastAsia" w:ascii="宋体" w:hAnsi="宋体" w:cs="宋体"/>
                <w:color w:val="000000"/>
              </w:rPr>
            </w:pPr>
            <w:r>
              <w:rPr>
                <w:rFonts w:hint="eastAsia" w:ascii="宋体" w:hAnsi="宋体" w:cs="宋体"/>
                <w:color w:val="000000"/>
              </w:rPr>
              <w:t>2. 15.7 适配容器：6～384孔培养板/培养皿/培养瓶/离心管等，还可提供适配各种定制型夹具，满足不同的细胞培养器皿及耗材的运输需求。</w:t>
            </w:r>
          </w:p>
          <w:p w14:paraId="0BEED107">
            <w:pPr>
              <w:jc w:val="left"/>
              <w:rPr>
                <w:rFonts w:hint="eastAsia" w:ascii="宋体" w:hAnsi="宋体" w:cs="宋体"/>
                <w:color w:val="000000"/>
              </w:rPr>
            </w:pPr>
            <w:r>
              <w:rPr>
                <w:rFonts w:hint="eastAsia" w:ascii="宋体" w:hAnsi="宋体" w:cs="宋体"/>
                <w:color w:val="000000"/>
              </w:rPr>
              <w:t>2. 16.Z轴切层成像功能</w:t>
            </w:r>
          </w:p>
          <w:p w14:paraId="010FAB5D">
            <w:pPr>
              <w:jc w:val="left"/>
              <w:rPr>
                <w:rFonts w:hint="eastAsia" w:ascii="宋体" w:hAnsi="宋体" w:cs="宋体"/>
                <w:color w:val="000000"/>
              </w:rPr>
            </w:pPr>
            <w:r>
              <w:rPr>
                <w:rFonts w:hint="eastAsia" w:ascii="宋体" w:hAnsi="宋体" w:cs="宋体"/>
                <w:color w:val="000000"/>
              </w:rPr>
              <w:t>2. 16.1.可通过软件控制，实现对不同高度的图像进行采集；</w:t>
            </w:r>
          </w:p>
          <w:p w14:paraId="2D42FCE3">
            <w:pPr>
              <w:jc w:val="left"/>
              <w:rPr>
                <w:rFonts w:hint="eastAsia" w:ascii="宋体" w:hAnsi="宋体" w:cs="宋体"/>
                <w:color w:val="000000"/>
              </w:rPr>
            </w:pPr>
            <w:r>
              <w:rPr>
                <w:rFonts w:hint="eastAsia" w:ascii="宋体" w:hAnsi="宋体" w:cs="宋体"/>
                <w:color w:val="000000"/>
              </w:rPr>
              <w:t>2. 16.2.具有智能最大亮度投影功能，可在多张不同高度的照片中选择最清晰、最明亮的图像；</w:t>
            </w:r>
          </w:p>
          <w:p w14:paraId="34541323">
            <w:pPr>
              <w:jc w:val="left"/>
              <w:rPr>
                <w:rFonts w:hint="eastAsia" w:ascii="宋体" w:hAnsi="宋体" w:cs="宋体"/>
                <w:color w:val="000000"/>
              </w:rPr>
            </w:pPr>
            <w:r>
              <w:rPr>
                <w:rFonts w:hint="eastAsia" w:ascii="宋体" w:hAnsi="宋体" w:cs="宋体"/>
                <w:color w:val="000000"/>
              </w:rPr>
              <w:t>2. 16.3.具有3D重构渲染功能，生成立体可旋转视频；</w:t>
            </w:r>
          </w:p>
          <w:p w14:paraId="5DD13C46">
            <w:pPr>
              <w:jc w:val="left"/>
              <w:rPr>
                <w:rFonts w:hint="eastAsia" w:ascii="宋体" w:hAnsi="宋体" w:cs="宋体"/>
                <w:color w:val="000000"/>
              </w:rPr>
            </w:pPr>
            <w:r>
              <w:rPr>
                <w:rFonts w:hint="eastAsia" w:ascii="宋体" w:hAnsi="宋体" w:cs="宋体"/>
                <w:color w:val="000000"/>
              </w:rPr>
              <w:t>2. 16.4.可实现对3D微组织的扫描，并具备相应的采集和分析模块。</w:t>
            </w:r>
          </w:p>
          <w:p w14:paraId="207223AA">
            <w:pPr>
              <w:jc w:val="left"/>
              <w:rPr>
                <w:rFonts w:hint="eastAsia" w:ascii="宋体" w:hAnsi="宋体" w:cs="宋体"/>
                <w:color w:val="000000"/>
              </w:rPr>
            </w:pPr>
            <w:r>
              <w:rPr>
                <w:rFonts w:hint="eastAsia" w:ascii="宋体" w:hAnsi="宋体" w:cs="宋体"/>
                <w:color w:val="000000"/>
              </w:rPr>
              <w:t>2. 17. 具备环境控制单元：温度控制：37-42⁰C (± 1⁰C)； CO2气体控制不小于：1-10%（± 0.5%），软件一体化可监控及调整系统温度及CO2浓度。</w:t>
            </w:r>
          </w:p>
          <w:p w14:paraId="206B2259">
            <w:pPr>
              <w:jc w:val="left"/>
              <w:rPr>
                <w:rFonts w:hint="eastAsia" w:ascii="宋体" w:hAnsi="宋体" w:cs="宋体"/>
                <w:color w:val="000000"/>
              </w:rPr>
            </w:pPr>
            <w:r>
              <w:rPr>
                <w:rFonts w:hint="eastAsia" w:ascii="宋体" w:hAnsi="宋体" w:cs="宋体"/>
                <w:color w:val="000000"/>
              </w:rPr>
              <w:t>2. 18.3D 分析模块：</w:t>
            </w:r>
          </w:p>
          <w:p w14:paraId="18600DF4">
            <w:pPr>
              <w:jc w:val="left"/>
              <w:rPr>
                <w:rFonts w:hint="eastAsia" w:ascii="宋体" w:hAnsi="宋体" w:cs="宋体"/>
                <w:color w:val="000000"/>
              </w:rPr>
            </w:pPr>
            <w:r>
              <w:rPr>
                <w:rFonts w:hint="eastAsia" w:ascii="宋体" w:hAnsi="宋体" w:cs="宋体"/>
                <w:color w:val="000000"/>
              </w:rPr>
              <w:t>2. 18.1.软件配置一体化的3D功能，从样品制备-智能化成像-3D数据可视化-3D数据分析，无需其他插件，可轻松完成从拍照到分析，以及边拍照边分析的功能；</w:t>
            </w:r>
          </w:p>
          <w:p w14:paraId="0FF7B68A">
            <w:pPr>
              <w:jc w:val="left"/>
              <w:rPr>
                <w:rFonts w:hint="eastAsia" w:ascii="宋体" w:hAnsi="宋体" w:cs="宋体"/>
                <w:color w:val="000000"/>
              </w:rPr>
            </w:pPr>
            <w:r>
              <w:rPr>
                <w:rFonts w:hint="eastAsia" w:ascii="宋体" w:hAnsi="宋体" w:cs="宋体"/>
                <w:color w:val="000000"/>
              </w:rPr>
              <w:t>2. 18.2.一体化成像分析软件可兼容多种3D耗材模板，如低黏附力板、U型板及各种微流控板以及各种2D, 3D芯片；</w:t>
            </w:r>
          </w:p>
          <w:p w14:paraId="27EF418D">
            <w:pPr>
              <w:jc w:val="left"/>
              <w:rPr>
                <w:rFonts w:hint="eastAsia" w:ascii="宋体" w:hAnsi="宋体" w:cs="宋体"/>
                <w:color w:val="000000"/>
              </w:rPr>
            </w:pPr>
            <w:r>
              <w:rPr>
                <w:rFonts w:hint="eastAsia" w:ascii="宋体" w:hAnsi="宋体" w:cs="宋体"/>
                <w:color w:val="000000"/>
              </w:rPr>
              <w:t>2. 18.3.提供一体化的智能扫描软件，可批量在同一软件内完成2D-3D的各种智能成像；可编辑算法智能识别目标区域3D微球区域，一次扫描，获取低倍全景，高倍高分辨率两套图像，可通过荧光参数、形态学参数、纹理学参数智能选择符合要求高倍镜精细扫描视野；</w:t>
            </w:r>
          </w:p>
          <w:p w14:paraId="1A84C7AA">
            <w:pPr>
              <w:jc w:val="left"/>
              <w:rPr>
                <w:rFonts w:hint="eastAsia" w:ascii="宋体" w:hAnsi="宋体" w:cs="宋体"/>
                <w:color w:val="000000"/>
              </w:rPr>
            </w:pPr>
            <w:r>
              <w:rPr>
                <w:rFonts w:hint="eastAsia" w:ascii="宋体" w:hAnsi="宋体" w:cs="宋体"/>
                <w:color w:val="000000"/>
              </w:rPr>
              <w:t>2. 18.4.配置丰富的3D可视化功能，提供3D 最大亮度投影，XYZ多层切正交视图，多种3D重建渲染视图，Clip box 任意角度层切视图、plane map 多层细胞定位视图；</w:t>
            </w:r>
          </w:p>
          <w:p w14:paraId="5506826F">
            <w:pPr>
              <w:jc w:val="left"/>
              <w:rPr>
                <w:rFonts w:hint="eastAsia" w:ascii="宋体" w:hAnsi="宋体" w:cs="宋体"/>
                <w:color w:val="000000"/>
              </w:rPr>
            </w:pPr>
            <w:r>
              <w:rPr>
                <w:rFonts w:hint="eastAsia" w:ascii="宋体" w:hAnsi="宋体" w:cs="宋体"/>
                <w:color w:val="000000"/>
              </w:rPr>
              <w:t xml:space="preserve">2. 18.5.配置各种视图下的3D数据分析。配置智能视窗功能，可根据感兴趣区域确认分析参数： </w:t>
            </w:r>
          </w:p>
          <w:p w14:paraId="6211EA61">
            <w:pPr>
              <w:jc w:val="left"/>
              <w:rPr>
                <w:rFonts w:hint="eastAsia" w:ascii="宋体" w:hAnsi="宋体" w:cs="宋体"/>
                <w:color w:val="000000"/>
              </w:rPr>
            </w:pPr>
            <w:r>
              <w:rPr>
                <w:rFonts w:hint="eastAsia" w:ascii="宋体" w:hAnsi="宋体" w:cs="宋体"/>
                <w:color w:val="000000"/>
              </w:rPr>
              <w:t xml:space="preserve"> 可计算细胞体积、3D表面积、3D最大截面积、3D球形程度 、3D投影面积、3D球形内径、3D 球厚度及高度等参数。 </w:t>
            </w:r>
          </w:p>
          <w:p w14:paraId="3B2B360F">
            <w:pPr>
              <w:jc w:val="left"/>
              <w:rPr>
                <w:rFonts w:hint="eastAsia" w:ascii="宋体" w:hAnsi="宋体" w:cs="宋体"/>
                <w:color w:val="000000"/>
              </w:rPr>
            </w:pPr>
            <w:r>
              <w:rPr>
                <w:rFonts w:hint="eastAsia" w:ascii="宋体" w:hAnsi="宋体" w:cs="宋体"/>
                <w:color w:val="000000"/>
              </w:rPr>
              <w:t> 可计算3D位置参数。软件可批量计算3D 细胞球彼此距离参数以及3D球最近邻距离和3D球距离孔边缘距离。</w:t>
            </w:r>
          </w:p>
          <w:p w14:paraId="43C4374D">
            <w:pPr>
              <w:jc w:val="left"/>
              <w:rPr>
                <w:rFonts w:hint="eastAsia" w:ascii="宋体" w:hAnsi="宋体" w:cs="宋体"/>
                <w:color w:val="000000"/>
              </w:rPr>
            </w:pPr>
            <w:r>
              <w:rPr>
                <w:rFonts w:hint="eastAsia" w:ascii="宋体" w:hAnsi="宋体" w:cs="宋体"/>
                <w:color w:val="000000"/>
              </w:rPr>
              <w:t> 可计算细胞距离球体体表XYZ距离参数以及群组细胞的3D共定位比例、需提供细胞群相互作用信息，提供多种3D细胞群最近的物体距离算法，计算A细胞群 每个细胞在B 群组中的距离最近的细胞及该细胞的形态学信息，提供细胞相互作用强度、形态学、纹理学数据，可批量导出单细胞数据、球体数据及整孔数据。</w:t>
            </w:r>
          </w:p>
          <w:p w14:paraId="6589283D">
            <w:pPr>
              <w:jc w:val="left"/>
              <w:rPr>
                <w:rFonts w:hint="eastAsia" w:ascii="宋体" w:hAnsi="宋体" w:cs="宋体"/>
                <w:color w:val="000000"/>
              </w:rPr>
            </w:pPr>
            <w:r>
              <w:rPr>
                <w:rFonts w:hint="eastAsia" w:ascii="宋体" w:hAnsi="宋体" w:cs="宋体"/>
                <w:color w:val="000000"/>
              </w:rPr>
              <w:t>  提供多种3D微组织分区分析方式，可计算3D囊肿部及空腔区体积、3D肝组织内部空泡及肝实质区、3D微组织中心20 um距离不同分区球体体积及细胞密度和位置。计算3D 球体中阳性细胞到某球体边缘或半球边缘距离，可批量导出单细胞数据、球体数据及整孔数据。</w:t>
            </w:r>
          </w:p>
          <w:p w14:paraId="1FEB000E">
            <w:pPr>
              <w:jc w:val="left"/>
              <w:rPr>
                <w:rFonts w:hint="eastAsia" w:ascii="宋体" w:hAnsi="宋体" w:cs="宋体"/>
                <w:color w:val="000000"/>
              </w:rPr>
            </w:pPr>
            <w:r>
              <w:rPr>
                <w:rFonts w:hint="eastAsia" w:ascii="宋体" w:hAnsi="宋体" w:cs="宋体"/>
                <w:color w:val="000000"/>
              </w:rPr>
              <w:t> 标配3D细胞纹理功能，可提供spot bright ,spot dark、line bright 、line dark、plane bright 、plane dark等3D纹理学指标计算，可提供多种3D 纹理提取3D渲染重建图像，可批量导出单细胞数据、球体数据及整孔数据。</w:t>
            </w:r>
          </w:p>
          <w:p w14:paraId="2B1A3D88">
            <w:pPr>
              <w:jc w:val="left"/>
              <w:rPr>
                <w:rFonts w:hint="eastAsia" w:ascii="宋体" w:hAnsi="宋体" w:cs="宋体"/>
                <w:color w:val="000000"/>
              </w:rPr>
            </w:pPr>
            <w:r>
              <w:rPr>
                <w:rFonts w:hint="eastAsia" w:ascii="宋体" w:hAnsi="宋体" w:cs="宋体"/>
                <w:color w:val="000000"/>
              </w:rPr>
              <w:t>2. 19.智能扫描模块：</w:t>
            </w:r>
          </w:p>
          <w:p w14:paraId="0BB054F0">
            <w:pPr>
              <w:jc w:val="left"/>
              <w:rPr>
                <w:rFonts w:hint="eastAsia" w:ascii="宋体" w:hAnsi="宋体" w:cs="宋体"/>
                <w:color w:val="000000"/>
              </w:rPr>
            </w:pPr>
            <w:r>
              <w:rPr>
                <w:rFonts w:hint="eastAsia" w:ascii="宋体" w:hAnsi="宋体" w:cs="宋体"/>
                <w:color w:val="000000"/>
              </w:rPr>
              <w:t>配置一体化智能采集模块提供了理想的全自动智能采集解决方案。可以训练软件智能自动寻找并精准定位采集您所感兴趣的区域或目标细胞，比如细胞微组织，干细胞克隆或特殊亚细胞类群。软件提供了一套完整的全自动的工作流程，在一次实验中一体化同步缜合低倍率数据采集，图像自动智能分析定位，高分倍率多数据自动采集等多个步骤，从而大大减少了采集耗时以及冗余的无效视野数据，同时大幅提升了数据分析速度。一次实验，同步获取低倍全景和高倍感兴趣区域视图，如斑马鱼识别、稀有细胞识别、划痕识别等。</w:t>
            </w:r>
          </w:p>
          <w:p w14:paraId="1084A5FD">
            <w:pPr>
              <w:jc w:val="left"/>
              <w:rPr>
                <w:rFonts w:hint="eastAsia" w:ascii="宋体" w:hAnsi="宋体" w:cs="宋体"/>
                <w:color w:val="000000"/>
              </w:rPr>
            </w:pPr>
            <w:r>
              <w:rPr>
                <w:rFonts w:hint="eastAsia" w:ascii="宋体" w:hAnsi="宋体" w:cs="宋体"/>
                <w:color w:val="000000"/>
              </w:rPr>
              <w:t>2. 20.实验设计向导：采集软件缜合实验设计向导模块，可记录细胞类型、用药浓度、细胞数、药物浓度等信息，可设置对照及重复。实验设计向导文件可存储直接调用，记录信息一键生成EC50曲线、海量参数Z值。</w:t>
            </w:r>
          </w:p>
          <w:p w14:paraId="564516DF">
            <w:pPr>
              <w:jc w:val="left"/>
              <w:rPr>
                <w:rFonts w:hint="eastAsia" w:ascii="宋体" w:hAnsi="宋体" w:cs="宋体"/>
                <w:color w:val="000000"/>
              </w:rPr>
            </w:pPr>
            <w:r>
              <w:rPr>
                <w:rFonts w:hint="eastAsia" w:ascii="宋体" w:hAnsi="宋体" w:cs="宋体"/>
                <w:color w:val="000000"/>
              </w:rPr>
              <w:t>2. 21.分析软件：</w:t>
            </w:r>
          </w:p>
          <w:p w14:paraId="41A4690D">
            <w:pPr>
              <w:jc w:val="left"/>
              <w:rPr>
                <w:rFonts w:hint="eastAsia" w:ascii="宋体" w:hAnsi="宋体" w:cs="宋体"/>
                <w:color w:val="000000"/>
              </w:rPr>
            </w:pPr>
            <w:r>
              <w:rPr>
                <w:rFonts w:hint="eastAsia" w:ascii="宋体" w:hAnsi="宋体" w:cs="宋体"/>
                <w:color w:val="000000"/>
              </w:rPr>
              <w:t>2. 21.1.预设应用分析解决方案：</w:t>
            </w:r>
          </w:p>
          <w:p w14:paraId="07939038">
            <w:pPr>
              <w:jc w:val="left"/>
              <w:rPr>
                <w:rFonts w:hint="eastAsia" w:ascii="宋体" w:hAnsi="宋体" w:cs="宋体"/>
                <w:color w:val="000000"/>
              </w:rPr>
            </w:pPr>
            <w:r>
              <w:rPr>
                <w:rFonts w:hint="eastAsia" w:ascii="宋体" w:hAnsi="宋体" w:cs="宋体"/>
                <w:color w:val="000000"/>
              </w:rPr>
              <w:t>具备以下分析方案：1）细胞计数或核计数2）活/死细胞计数3）核内标志物定量4）细胞质标志物定量5）质膜标志物定量6）胞质向核迁移7）胞质向膜迁移8）荧光重分配——细胞骨架9）Spot分析10）核内Spots 11）细胞核分析——细胞核皱缩12）细胞核裂解分析13）细胞核分类——DNA含量14）细胞形状——细胞圆度15）有丝分裂指数16）细胞周期分类17）受体内化18）神经细胞分析19）克隆形成20）微核分析21）迁移22）脂滴形成分析23）基于纹理的亚细胞结构分割24）表型分析25）细胞分化26）细胞汇合率分析27）神经生长——胞体精细分析28）在线质量控制29）纹理分析——线粒体分群30）3D微组织分析31）细胞轨迹追踪32）细胞世代分析。</w:t>
            </w:r>
          </w:p>
          <w:p w14:paraId="4EDD7493">
            <w:pPr>
              <w:jc w:val="left"/>
              <w:rPr>
                <w:rFonts w:hint="eastAsia" w:ascii="宋体" w:hAnsi="宋体" w:cs="宋体"/>
                <w:color w:val="000000"/>
              </w:rPr>
            </w:pPr>
            <w:r>
              <w:rPr>
                <w:rFonts w:hint="eastAsia" w:ascii="宋体" w:hAnsi="宋体" w:cs="宋体"/>
                <w:color w:val="000000"/>
              </w:rPr>
              <w:t>2. 21.2.预设分析方案数据形式：</w:t>
            </w:r>
          </w:p>
          <w:p w14:paraId="5CC09E3A">
            <w:pPr>
              <w:jc w:val="left"/>
              <w:rPr>
                <w:rFonts w:hint="eastAsia" w:ascii="宋体" w:hAnsi="宋体" w:cs="宋体"/>
                <w:color w:val="000000"/>
              </w:rPr>
            </w:pPr>
            <w:r>
              <w:rPr>
                <w:rFonts w:hint="eastAsia" w:ascii="宋体" w:hAnsi="宋体" w:cs="宋体"/>
                <w:color w:val="000000"/>
              </w:rPr>
              <w:t>可针对每孔数据导出整板统计学数据，细胞实验可导出每一单细胞数据，以便获取细胞异质性信息。</w:t>
            </w:r>
          </w:p>
          <w:p w14:paraId="528F7E42">
            <w:pPr>
              <w:jc w:val="left"/>
              <w:rPr>
                <w:rFonts w:hint="eastAsia" w:ascii="宋体" w:hAnsi="宋体" w:cs="宋体"/>
                <w:color w:val="000000"/>
              </w:rPr>
            </w:pPr>
            <w:r>
              <w:rPr>
                <w:rFonts w:hint="eastAsia" w:ascii="宋体" w:hAnsi="宋体" w:cs="宋体"/>
                <w:color w:val="000000"/>
              </w:rPr>
              <w:t>2. 22.纹理分析模块：</w:t>
            </w:r>
          </w:p>
          <w:p w14:paraId="326DEC3A">
            <w:pPr>
              <w:jc w:val="left"/>
              <w:rPr>
                <w:rFonts w:hint="eastAsia" w:ascii="宋体" w:hAnsi="宋体" w:cs="宋体"/>
                <w:color w:val="000000"/>
              </w:rPr>
            </w:pPr>
            <w:r>
              <w:rPr>
                <w:rFonts w:hint="eastAsia" w:ascii="宋体" w:hAnsi="宋体" w:cs="宋体"/>
                <w:color w:val="000000"/>
              </w:rPr>
              <w:t>2. 22.1.纹理模型：≥8个；</w:t>
            </w:r>
          </w:p>
          <w:p w14:paraId="34670846">
            <w:pPr>
              <w:jc w:val="left"/>
              <w:rPr>
                <w:rFonts w:hint="eastAsia" w:ascii="宋体" w:hAnsi="宋体" w:cs="宋体"/>
                <w:color w:val="000000"/>
              </w:rPr>
            </w:pPr>
            <w:r>
              <w:rPr>
                <w:rFonts w:hint="eastAsia" w:ascii="宋体" w:hAnsi="宋体" w:cs="宋体"/>
                <w:color w:val="000000"/>
              </w:rPr>
              <w:t>2. 22.2.≥8种纹理模型包括：SER-Spot，SER-Hole，SER-Edge，SER-Ridge，SER-Valley，SER-Saddle， SER-Bright，SER-Dark；</w:t>
            </w:r>
          </w:p>
          <w:p w14:paraId="3CAD9958">
            <w:pPr>
              <w:jc w:val="left"/>
              <w:rPr>
                <w:rFonts w:hint="eastAsia" w:ascii="宋体" w:hAnsi="宋体" w:cs="宋体"/>
                <w:color w:val="000000"/>
              </w:rPr>
            </w:pPr>
            <w:r>
              <w:rPr>
                <w:rFonts w:hint="eastAsia" w:ascii="宋体" w:hAnsi="宋体" w:cs="宋体"/>
                <w:color w:val="000000"/>
              </w:rPr>
              <w:t>2. 22.3.纹理标准：Kernel, Region Indensity, Unnormalized；</w:t>
            </w:r>
          </w:p>
          <w:p w14:paraId="2D425514">
            <w:pPr>
              <w:jc w:val="left"/>
              <w:rPr>
                <w:rFonts w:hint="eastAsia" w:ascii="宋体" w:hAnsi="宋体" w:cs="宋体"/>
                <w:color w:val="000000"/>
              </w:rPr>
            </w:pPr>
            <w:r>
              <w:rPr>
                <w:rFonts w:hint="eastAsia" w:ascii="宋体" w:hAnsi="宋体" w:cs="宋体"/>
                <w:color w:val="000000"/>
              </w:rPr>
              <w:t>2. 22.4.可以利用纹理分析图像进行二次分析，可提供三篇以上文献。</w:t>
            </w:r>
          </w:p>
          <w:p w14:paraId="735784C6">
            <w:pPr>
              <w:jc w:val="left"/>
              <w:rPr>
                <w:rFonts w:hint="eastAsia" w:ascii="宋体" w:hAnsi="宋体" w:cs="宋体"/>
                <w:color w:val="000000"/>
              </w:rPr>
            </w:pPr>
            <w:r>
              <w:rPr>
                <w:rFonts w:hint="eastAsia" w:ascii="宋体" w:hAnsi="宋体" w:cs="宋体"/>
                <w:color w:val="000000"/>
              </w:rPr>
              <w:t>2. 23. 机器自学习功能：</w:t>
            </w:r>
          </w:p>
          <w:p w14:paraId="464D60F8">
            <w:pPr>
              <w:jc w:val="left"/>
              <w:rPr>
                <w:rFonts w:hint="eastAsia" w:ascii="宋体" w:hAnsi="宋体" w:cs="宋体"/>
                <w:color w:val="000000"/>
              </w:rPr>
            </w:pPr>
            <w:r>
              <w:rPr>
                <w:rFonts w:hint="eastAsia" w:ascii="宋体" w:hAnsi="宋体" w:cs="宋体"/>
                <w:color w:val="000000"/>
              </w:rPr>
              <w:t>2. 23.1 用户教导软件识别不同的细胞类群或区域，创建自定义的分析算法；</w:t>
            </w:r>
          </w:p>
          <w:p w14:paraId="7FEFA22E">
            <w:pPr>
              <w:jc w:val="left"/>
              <w:rPr>
                <w:rFonts w:hint="eastAsia" w:ascii="宋体" w:hAnsi="宋体" w:cs="宋体"/>
                <w:color w:val="000000"/>
              </w:rPr>
            </w:pPr>
            <w:r>
              <w:rPr>
                <w:rFonts w:hint="eastAsia" w:ascii="宋体" w:hAnsi="宋体" w:cs="宋体"/>
                <w:color w:val="000000"/>
              </w:rPr>
              <w:t>2. 23.2 同时对于人工智能分类不少于6种表型分类；</w:t>
            </w:r>
          </w:p>
          <w:p w14:paraId="52F3FE06">
            <w:pPr>
              <w:jc w:val="left"/>
              <w:rPr>
                <w:rFonts w:hint="eastAsia" w:ascii="宋体" w:hAnsi="宋体" w:cs="宋体"/>
                <w:color w:val="000000"/>
              </w:rPr>
            </w:pPr>
            <w:r>
              <w:rPr>
                <w:rFonts w:hint="eastAsia" w:ascii="宋体" w:hAnsi="宋体" w:cs="宋体"/>
                <w:color w:val="000000"/>
              </w:rPr>
              <w:t>23.3 可自学习细胞大小、形态、亚细胞结构，组织形态结构，信号分布差等参数。</w:t>
            </w:r>
          </w:p>
          <w:p w14:paraId="61B5F1BE">
            <w:pPr>
              <w:jc w:val="left"/>
              <w:rPr>
                <w:rFonts w:hint="eastAsia" w:ascii="宋体" w:hAnsi="宋体" w:cs="宋体"/>
                <w:color w:val="000000"/>
              </w:rPr>
            </w:pPr>
            <w:r>
              <w:rPr>
                <w:rFonts w:hint="eastAsia" w:ascii="宋体" w:hAnsi="宋体" w:cs="宋体"/>
                <w:color w:val="000000"/>
              </w:rPr>
              <w:t>2. 24. 配置原厂Cell painting检测试剂盒，单细胞最多可给出不少于5700个形态学参数。</w:t>
            </w:r>
          </w:p>
          <w:p w14:paraId="07026489">
            <w:pPr>
              <w:jc w:val="left"/>
              <w:rPr>
                <w:rFonts w:hint="eastAsia" w:ascii="宋体" w:hAnsi="宋体" w:cs="宋体"/>
                <w:color w:val="000000"/>
              </w:rPr>
            </w:pPr>
            <w:r>
              <w:rPr>
                <w:rFonts w:hint="eastAsia" w:ascii="宋体" w:hAnsi="宋体" w:cs="宋体"/>
                <w:color w:val="000000"/>
              </w:rPr>
              <w:t>2. 25. 自动优化分析功能：由软件对图像进行自主分析，无需任何人工干预，帮助使用者找到最合适的分析方法，推荐最优参数。形态学参数不低于200个。</w:t>
            </w:r>
          </w:p>
          <w:p w14:paraId="10EF8CF5">
            <w:pPr>
              <w:jc w:val="left"/>
              <w:rPr>
                <w:rFonts w:hint="eastAsia" w:ascii="宋体" w:hAnsi="宋体" w:cs="宋体"/>
                <w:color w:val="000000"/>
              </w:rPr>
            </w:pPr>
            <w:r>
              <w:rPr>
                <w:rFonts w:hint="eastAsia" w:ascii="宋体" w:hAnsi="宋体" w:cs="宋体"/>
                <w:color w:val="000000"/>
              </w:rPr>
              <w:t>2. 26. 参数优化功能：可以手动优化分割参数，也可以由软件自动给出最佳参数。</w:t>
            </w:r>
          </w:p>
          <w:p w14:paraId="7BF5955D">
            <w:pPr>
              <w:jc w:val="left"/>
              <w:rPr>
                <w:rFonts w:hint="eastAsia" w:ascii="宋体" w:hAnsi="宋体" w:cs="宋体"/>
                <w:color w:val="000000"/>
              </w:rPr>
            </w:pPr>
            <w:r>
              <w:rPr>
                <w:rFonts w:hint="eastAsia" w:ascii="宋体" w:hAnsi="宋体" w:cs="宋体"/>
                <w:color w:val="000000"/>
              </w:rPr>
              <w:t>2. 27. 数据类型：除可分析并导出整孔数据，同样可以给出单视野，单细胞的各种参数。</w:t>
            </w:r>
          </w:p>
          <w:p w14:paraId="00D7A51C">
            <w:pPr>
              <w:jc w:val="left"/>
              <w:rPr>
                <w:rFonts w:hint="eastAsia" w:ascii="宋体" w:hAnsi="宋体" w:cs="宋体"/>
                <w:color w:val="000000"/>
              </w:rPr>
            </w:pPr>
            <w:r>
              <w:rPr>
                <w:rFonts w:hint="eastAsia" w:ascii="宋体" w:hAnsi="宋体" w:cs="宋体"/>
                <w:color w:val="000000"/>
              </w:rPr>
              <w:t>2. 28. 可视化数据类型： 采集分析，数据可视化可在同一分析软件完成。可在同一软件一键完成EC50曲线拟合, Z value计算。无需导出使用其他软件。（需提供一体化软件流程截图）。</w:t>
            </w:r>
          </w:p>
          <w:p w14:paraId="7E44D618">
            <w:pPr>
              <w:jc w:val="left"/>
              <w:rPr>
                <w:rFonts w:hint="eastAsia" w:ascii="宋体" w:hAnsi="宋体" w:cs="宋体"/>
                <w:color w:val="000000"/>
              </w:rPr>
            </w:pPr>
            <w:r>
              <w:rPr>
                <w:rFonts w:hint="eastAsia" w:ascii="宋体" w:hAnsi="宋体" w:cs="宋体"/>
                <w:color w:val="000000"/>
              </w:rPr>
              <w:t>2. 29. 成像分析工作站最低要求：</w:t>
            </w:r>
          </w:p>
          <w:p w14:paraId="1A0CD9A4">
            <w:pPr>
              <w:jc w:val="left"/>
              <w:rPr>
                <w:rFonts w:hint="eastAsia" w:ascii="宋体" w:hAnsi="宋体" w:cs="宋体"/>
                <w:color w:val="000000"/>
              </w:rPr>
            </w:pPr>
            <w:r>
              <w:rPr>
                <w:rFonts w:hint="eastAsia" w:ascii="宋体" w:hAnsi="宋体" w:cs="宋体"/>
                <w:color w:val="000000"/>
              </w:rPr>
              <w:t>不低于双八核处理器，内存≥32GB，硬盘≥8TB，≥Windows 10操作系统，显示器≥24英寸。</w:t>
            </w:r>
          </w:p>
          <w:p w14:paraId="51F4F13E">
            <w:pPr>
              <w:jc w:val="left"/>
              <w:rPr>
                <w:rFonts w:hint="eastAsia" w:ascii="宋体" w:hAnsi="宋体" w:cs="宋体"/>
                <w:color w:val="000000"/>
              </w:rPr>
            </w:pPr>
            <w:r>
              <w:rPr>
                <w:rFonts w:hint="eastAsia" w:ascii="宋体" w:hAnsi="宋体" w:cs="宋体"/>
                <w:color w:val="000000"/>
              </w:rPr>
              <w:t>2. 30. 可通过机器人构建高通量自动化无人值守长时间成像平台。</w:t>
            </w:r>
          </w:p>
          <w:p w14:paraId="6DC7F6BA">
            <w:pPr>
              <w:jc w:val="left"/>
              <w:rPr>
                <w:rFonts w:hint="eastAsia" w:ascii="宋体" w:hAnsi="宋体" w:cs="宋体"/>
                <w:color w:val="000000"/>
              </w:rPr>
            </w:pPr>
            <w:r>
              <w:rPr>
                <w:rFonts w:hint="eastAsia" w:ascii="宋体" w:hAnsi="宋体" w:cs="宋体"/>
                <w:color w:val="000000"/>
              </w:rPr>
              <w:t>3、配置清单:</w:t>
            </w:r>
          </w:p>
          <w:p w14:paraId="4EF5DCFB">
            <w:pPr>
              <w:jc w:val="left"/>
              <w:rPr>
                <w:rFonts w:hint="eastAsia" w:ascii="宋体" w:hAnsi="宋体" w:cs="宋体"/>
                <w:color w:val="000000"/>
              </w:rPr>
            </w:pPr>
            <w:r>
              <w:rPr>
                <w:rFonts w:hint="eastAsia" w:ascii="宋体" w:hAnsi="宋体" w:cs="宋体"/>
                <w:color w:val="000000"/>
              </w:rPr>
              <w:t>3.1、3D细胞成像系统主机，1套；</w:t>
            </w:r>
          </w:p>
          <w:p w14:paraId="0D25CB81">
            <w:pPr>
              <w:jc w:val="left"/>
              <w:rPr>
                <w:rFonts w:hint="eastAsia" w:ascii="宋体" w:hAnsi="宋体" w:cs="宋体"/>
                <w:color w:val="000000"/>
              </w:rPr>
            </w:pPr>
            <w:r>
              <w:rPr>
                <w:rFonts w:hint="eastAsia" w:ascii="宋体" w:hAnsi="宋体" w:cs="宋体"/>
                <w:color w:val="000000"/>
              </w:rPr>
              <w:t>3.2、转盘共聚焦扫描模块，1个；</w:t>
            </w:r>
          </w:p>
          <w:p w14:paraId="5BA45AA8">
            <w:pPr>
              <w:jc w:val="left"/>
              <w:rPr>
                <w:rFonts w:hint="eastAsia" w:ascii="宋体" w:hAnsi="宋体" w:cs="宋体"/>
                <w:color w:val="000000"/>
              </w:rPr>
            </w:pPr>
            <w:r>
              <w:rPr>
                <w:rFonts w:hint="eastAsia" w:ascii="宋体" w:hAnsi="宋体" w:cs="宋体"/>
                <w:color w:val="000000"/>
              </w:rPr>
              <w:t>3.3、高性能图形工作站 1套；</w:t>
            </w:r>
          </w:p>
          <w:p w14:paraId="53F2843E">
            <w:pPr>
              <w:jc w:val="left"/>
              <w:rPr>
                <w:rFonts w:hint="eastAsia" w:ascii="宋体" w:hAnsi="宋体" w:cs="宋体"/>
                <w:color w:val="000000"/>
              </w:rPr>
            </w:pPr>
            <w:r>
              <w:rPr>
                <w:rFonts w:hint="eastAsia" w:ascii="宋体" w:hAnsi="宋体" w:cs="宋体"/>
                <w:color w:val="000000"/>
              </w:rPr>
              <w:t>3.4、数据采集及分析软件 1套；</w:t>
            </w:r>
          </w:p>
          <w:p w14:paraId="2895B112">
            <w:pPr>
              <w:jc w:val="left"/>
              <w:rPr>
                <w:rFonts w:hint="eastAsia" w:ascii="宋体" w:hAnsi="宋体" w:cs="宋体"/>
                <w:color w:val="000000"/>
              </w:rPr>
            </w:pPr>
            <w:r>
              <w:rPr>
                <w:rFonts w:hint="eastAsia" w:ascii="宋体" w:hAnsi="宋体" w:cs="宋体"/>
                <w:color w:val="000000"/>
              </w:rPr>
              <w:t>3.5、协作式机器人手臂，1个；</w:t>
            </w:r>
          </w:p>
          <w:p w14:paraId="3CAAE5E4">
            <w:pPr>
              <w:jc w:val="left"/>
              <w:rPr>
                <w:rFonts w:hint="eastAsia" w:ascii="宋体" w:hAnsi="宋体" w:cs="宋体"/>
                <w:color w:val="000000"/>
              </w:rPr>
            </w:pPr>
            <w:r>
              <w:rPr>
                <w:rFonts w:hint="eastAsia" w:ascii="宋体" w:hAnsi="宋体" w:cs="宋体"/>
                <w:color w:val="000000"/>
              </w:rPr>
              <w:t>3.6、时序规划软件，1套；</w:t>
            </w:r>
          </w:p>
          <w:p w14:paraId="5B5E8B58">
            <w:pPr>
              <w:jc w:val="left"/>
              <w:rPr>
                <w:rFonts w:hint="eastAsia" w:ascii="宋体" w:hAnsi="宋体" w:cs="宋体"/>
                <w:color w:val="000000"/>
              </w:rPr>
            </w:pPr>
            <w:r>
              <w:rPr>
                <w:rFonts w:hint="eastAsia" w:ascii="宋体" w:hAnsi="宋体" w:cs="宋体"/>
                <w:color w:val="000000"/>
              </w:rPr>
              <w:t>3.7、自动化细胞培养箱，1个；</w:t>
            </w:r>
          </w:p>
          <w:p w14:paraId="27C72967">
            <w:pPr>
              <w:jc w:val="left"/>
              <w:rPr>
                <w:rFonts w:hint="eastAsia" w:ascii="宋体" w:hAnsi="宋体" w:cs="宋体"/>
                <w:color w:val="000000"/>
              </w:rPr>
            </w:pPr>
            <w:r>
              <w:rPr>
                <w:rFonts w:hint="eastAsia" w:ascii="宋体" w:hAnsi="宋体" w:cs="宋体"/>
                <w:color w:val="000000"/>
              </w:rPr>
              <w:t>3.8、14位微孔板板栈，3个；</w:t>
            </w:r>
          </w:p>
          <w:p w14:paraId="4F3D9B6E">
            <w:pPr>
              <w:jc w:val="left"/>
              <w:rPr>
                <w:rFonts w:hint="eastAsia" w:ascii="宋体" w:hAnsi="宋体" w:cs="宋体"/>
                <w:color w:val="000000"/>
              </w:rPr>
            </w:pPr>
            <w:r>
              <w:rPr>
                <w:rFonts w:hint="eastAsia" w:ascii="宋体" w:hAnsi="宋体" w:cs="宋体"/>
                <w:color w:val="000000"/>
              </w:rPr>
              <w:t>3.9、便携式活细胞转运箱，1个。</w:t>
            </w:r>
          </w:p>
          <w:p w14:paraId="6BF78BF9">
            <w:pPr>
              <w:jc w:val="left"/>
              <w:rPr>
                <w:rFonts w:ascii="宋体" w:hAnsi="宋体" w:cs="宋体"/>
                <w:color w:val="000000"/>
              </w:rPr>
            </w:pPr>
          </w:p>
        </w:tc>
        <w:tc>
          <w:tcPr>
            <w:tcW w:w="313" w:type="pct"/>
            <w:noWrap w:val="0"/>
            <w:vAlign w:val="center"/>
          </w:tcPr>
          <w:p w14:paraId="223FF689">
            <w:pPr>
              <w:jc w:val="center"/>
              <w:rPr>
                <w:rFonts w:hint="default" w:ascii="宋体" w:hAnsi="宋体" w:cs="宋体" w:eastAsiaTheme="minorEastAsia"/>
                <w:color w:val="000000"/>
                <w:lang w:val="en-US" w:eastAsia="zh-CN"/>
              </w:rPr>
            </w:pPr>
            <w:r>
              <w:rPr>
                <w:rFonts w:hint="eastAsia" w:ascii="宋体" w:hAnsi="宋体" w:cs="宋体"/>
                <w:color w:val="000000"/>
                <w:lang w:val="en-US" w:eastAsia="zh-CN"/>
              </w:rPr>
              <w:t>台</w:t>
            </w:r>
          </w:p>
        </w:tc>
        <w:tc>
          <w:tcPr>
            <w:tcW w:w="262" w:type="pct"/>
            <w:noWrap w:val="0"/>
            <w:vAlign w:val="center"/>
          </w:tcPr>
          <w:p w14:paraId="661A2F1E">
            <w:pPr>
              <w:widowControl/>
              <w:jc w:val="center"/>
              <w:textAlignment w:val="center"/>
              <w:rPr>
                <w:rFonts w:hint="default" w:ascii="宋体" w:hAnsi="宋体" w:cs="宋体" w:eastAsiaTheme="minorEastAsia"/>
                <w:color w:val="000000"/>
                <w:kern w:val="0"/>
                <w:lang w:val="en-US" w:eastAsia="zh-CN" w:bidi="ar"/>
              </w:rPr>
            </w:pPr>
            <w:r>
              <w:rPr>
                <w:rFonts w:hint="eastAsia" w:ascii="宋体" w:hAnsi="宋体" w:cs="宋体"/>
                <w:color w:val="000000"/>
                <w:kern w:val="0"/>
                <w:lang w:val="en-US" w:eastAsia="zh-CN" w:bidi="ar"/>
              </w:rPr>
              <w:t>1</w:t>
            </w:r>
          </w:p>
        </w:tc>
        <w:tc>
          <w:tcPr>
            <w:tcW w:w="552" w:type="pct"/>
            <w:noWrap w:val="0"/>
            <w:vAlign w:val="center"/>
          </w:tcPr>
          <w:p w14:paraId="54769A7B">
            <w:pPr>
              <w:widowControl/>
              <w:jc w:val="center"/>
              <w:textAlignment w:val="center"/>
              <w:rPr>
                <w:rFonts w:hint="default" w:ascii="宋体" w:hAnsi="宋体" w:cs="宋体"/>
                <w:color w:val="000000"/>
                <w:kern w:val="0"/>
                <w:lang w:val="en-US" w:bidi="zh-CN"/>
              </w:rPr>
            </w:pPr>
            <w:r>
              <w:rPr>
                <w:rFonts w:hint="eastAsia" w:ascii="宋体" w:hAnsi="宋体" w:cs="宋体"/>
                <w:color w:val="000000"/>
                <w:kern w:val="0"/>
                <w:lang w:val="en-US" w:bidi="zh-CN"/>
              </w:rPr>
              <w:t>3,800,000.00</w:t>
            </w:r>
          </w:p>
        </w:tc>
        <w:tc>
          <w:tcPr>
            <w:tcW w:w="539" w:type="pct"/>
            <w:noWrap w:val="0"/>
            <w:vAlign w:val="center"/>
          </w:tcPr>
          <w:p w14:paraId="4624523A">
            <w:pPr>
              <w:widowControl/>
              <w:jc w:val="center"/>
              <w:textAlignment w:val="center"/>
              <w:rPr>
                <w:rFonts w:hint="default" w:ascii="宋体" w:hAnsi="宋体" w:cs="宋体"/>
                <w:color w:val="000000"/>
                <w:kern w:val="0"/>
                <w:lang w:val="en-US" w:bidi="zh-CN"/>
              </w:rPr>
            </w:pPr>
            <w:r>
              <w:rPr>
                <w:rFonts w:hint="eastAsia" w:ascii="宋体" w:hAnsi="宋体" w:cs="宋体"/>
                <w:color w:val="000000"/>
                <w:kern w:val="0"/>
                <w:lang w:val="en-US" w:bidi="zh-CN"/>
              </w:rPr>
              <w:t>3,800,000.00</w:t>
            </w:r>
          </w:p>
        </w:tc>
      </w:tr>
      <w:bookmarkEnd w:id="0"/>
      <w:bookmarkEnd w:id="1"/>
      <w:bookmarkEnd w:id="2"/>
      <w:tr w14:paraId="3FB1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31" w:type="pct"/>
            <w:gridSpan w:val="5"/>
            <w:noWrap w:val="0"/>
            <w:tcMar>
              <w:top w:w="13" w:type="dxa"/>
              <w:left w:w="57" w:type="dxa"/>
              <w:bottom w:w="0" w:type="dxa"/>
              <w:right w:w="57" w:type="dxa"/>
            </w:tcMar>
            <w:vAlign w:val="center"/>
          </w:tcPr>
          <w:p w14:paraId="72309B8A">
            <w:pPr>
              <w:widowControl/>
              <w:jc w:val="center"/>
              <w:textAlignment w:val="center"/>
              <w:rPr>
                <w:rFonts w:ascii="宋体" w:hAnsi="宋体" w:cs="宋体"/>
                <w:b/>
                <w:color w:val="000000"/>
                <w:kern w:val="0"/>
                <w:lang w:bidi="zh-CN"/>
              </w:rPr>
            </w:pPr>
            <w:r>
              <w:rPr>
                <w:rFonts w:hint="eastAsia" w:ascii="宋体" w:hAnsi="宋体" w:cs="宋体"/>
                <w:b/>
                <w:color w:val="000000"/>
                <w:kern w:val="0"/>
                <w:lang w:bidi="zh-CN"/>
              </w:rPr>
              <w:t>合计金额：（大写）人民币</w:t>
            </w:r>
            <w:r>
              <w:rPr>
                <w:rFonts w:ascii="宋体" w:hAnsi="宋体" w:cs="宋体"/>
                <w:b/>
                <w:color w:val="000000"/>
                <w:kern w:val="0"/>
                <w:u w:val="single"/>
                <w:lang w:bidi="zh-CN"/>
              </w:rPr>
              <w:t xml:space="preserve"> </w:t>
            </w:r>
            <w:r>
              <w:rPr>
                <w:rFonts w:hint="eastAsia" w:ascii="宋体" w:hAnsi="宋体" w:cs="宋体"/>
                <w:b/>
                <w:color w:val="000000"/>
                <w:kern w:val="0"/>
                <w:u w:val="single"/>
                <w:lang w:bidi="zh-CN"/>
              </w:rPr>
              <w:t>伍</w:t>
            </w:r>
            <w:r>
              <w:rPr>
                <w:rFonts w:hint="eastAsia" w:ascii="宋体" w:hAnsi="宋体" w:cs="宋体"/>
                <w:b/>
                <w:color w:val="000000"/>
                <w:kern w:val="0"/>
                <w:u w:val="single"/>
                <w:lang w:val="en-US" w:bidi="zh-CN"/>
              </w:rPr>
              <w:t>拾万</w:t>
            </w:r>
            <w:r>
              <w:rPr>
                <w:rFonts w:hint="eastAsia" w:ascii="宋体" w:hAnsi="宋体" w:cs="宋体"/>
                <w:b/>
                <w:color w:val="000000"/>
                <w:kern w:val="0"/>
                <w:lang w:bidi="zh-CN"/>
              </w:rPr>
              <w:t>元整</w:t>
            </w:r>
          </w:p>
        </w:tc>
        <w:tc>
          <w:tcPr>
            <w:tcW w:w="1668" w:type="pct"/>
            <w:gridSpan w:val="4"/>
            <w:noWrap w:val="0"/>
            <w:vAlign w:val="center"/>
          </w:tcPr>
          <w:p w14:paraId="02603391">
            <w:pPr>
              <w:widowControl/>
              <w:jc w:val="left"/>
              <w:textAlignment w:val="center"/>
              <w:rPr>
                <w:rFonts w:ascii="宋体" w:hAnsi="宋体" w:cs="宋体"/>
                <w:b/>
                <w:color w:val="000000"/>
                <w:kern w:val="0"/>
                <w:lang w:bidi="zh-CN"/>
              </w:rPr>
            </w:pPr>
            <w:r>
              <w:rPr>
                <w:rFonts w:hint="eastAsia" w:ascii="宋体" w:hAnsi="宋体" w:cs="宋体"/>
                <w:b/>
                <w:color w:val="000000"/>
                <w:kern w:val="0"/>
                <w:lang w:bidi="zh-CN"/>
              </w:rPr>
              <w:t>（小写）¥</w:t>
            </w:r>
            <w:r>
              <w:rPr>
                <w:rFonts w:hint="eastAsia" w:ascii="宋体" w:hAnsi="宋体" w:cs="宋体"/>
                <w:b/>
                <w:color w:val="000000"/>
                <w:kern w:val="0"/>
                <w:u w:val="single"/>
                <w:lang w:val="en-US" w:bidi="zh-CN"/>
              </w:rPr>
              <w:t>3,800,000.00</w:t>
            </w:r>
            <w:r>
              <w:rPr>
                <w:rFonts w:ascii="宋体" w:hAnsi="宋体" w:cs="宋体"/>
                <w:b/>
                <w:color w:val="000000"/>
                <w:kern w:val="0"/>
                <w:u w:val="single"/>
                <w:lang w:bidi="zh-CN"/>
              </w:rPr>
              <w:t xml:space="preserve">  </w:t>
            </w:r>
          </w:p>
        </w:tc>
      </w:tr>
      <w:tr w14:paraId="2C34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9"/>
            <w:noWrap w:val="0"/>
            <w:tcMar>
              <w:top w:w="13" w:type="dxa"/>
              <w:left w:w="57" w:type="dxa"/>
              <w:bottom w:w="0" w:type="dxa"/>
              <w:right w:w="57" w:type="dxa"/>
            </w:tcMar>
            <w:vAlign w:val="center"/>
          </w:tcPr>
          <w:p w14:paraId="19530EC5">
            <w:pPr>
              <w:widowControl/>
              <w:jc w:val="left"/>
              <w:textAlignment w:val="center"/>
              <w:rPr>
                <w:rFonts w:ascii="宋体" w:hAnsi="宋体" w:cs="宋体"/>
                <w:b/>
                <w:color w:val="000000"/>
                <w:kern w:val="0"/>
                <w:lang w:bidi="zh-CN"/>
              </w:rPr>
            </w:pPr>
            <w:r>
              <w:rPr>
                <w:rFonts w:hint="eastAsia" w:ascii="宋体" w:hAnsi="宋体"/>
                <w:b/>
                <w:bCs/>
                <w:color w:val="000000"/>
              </w:rPr>
              <w:t>二、商务要求</w:t>
            </w:r>
          </w:p>
        </w:tc>
      </w:tr>
      <w:tr w14:paraId="7921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7A322C96">
            <w:pPr>
              <w:jc w:val="center"/>
              <w:rPr>
                <w:rFonts w:ascii="宋体" w:hAnsi="宋体" w:cs="宋体"/>
                <w:b/>
                <w:bCs/>
              </w:rPr>
            </w:pPr>
            <w:r>
              <w:rPr>
                <w:rFonts w:hint="eastAsia" w:ascii="宋体" w:hAnsi="宋体" w:cs="宋体"/>
                <w:b/>
                <w:bCs/>
              </w:rPr>
              <w:t>报价说明</w:t>
            </w:r>
          </w:p>
        </w:tc>
        <w:tc>
          <w:tcPr>
            <w:tcW w:w="4393" w:type="pct"/>
            <w:gridSpan w:val="7"/>
            <w:noWrap w:val="0"/>
            <w:tcMar>
              <w:top w:w="13" w:type="dxa"/>
              <w:left w:w="57" w:type="dxa"/>
              <w:bottom w:w="0" w:type="dxa"/>
              <w:right w:w="57" w:type="dxa"/>
            </w:tcMar>
            <w:vAlign w:val="center"/>
          </w:tcPr>
          <w:p w14:paraId="28D57560">
            <w:pPr>
              <w:rPr>
                <w:rFonts w:ascii="宋体" w:hAnsi="宋体" w:cs="宋体"/>
              </w:rPr>
            </w:pPr>
            <w:r>
              <w:rPr>
                <w:rFonts w:hint="eastAsia" w:ascii="宋体" w:hAnsi="宋体" w:cs="宋体"/>
              </w:rPr>
              <w:t>报</w:t>
            </w:r>
            <w:r>
              <w:rPr>
                <w:rFonts w:ascii="宋体" w:hAnsi="宋体" w:cs="宋体"/>
              </w:rPr>
              <w:t>价为采购人指定地点的现场</w:t>
            </w:r>
            <w:r>
              <w:rPr>
                <w:rFonts w:hint="eastAsia" w:ascii="宋体" w:hAnsi="宋体" w:cs="宋体"/>
              </w:rPr>
              <w:t>交付价格</w:t>
            </w:r>
            <w:r>
              <w:rPr>
                <w:rFonts w:ascii="宋体" w:hAnsi="宋体" w:cs="宋体"/>
              </w:rPr>
              <w:t>，包括但不限于：</w:t>
            </w:r>
          </w:p>
          <w:p w14:paraId="3ACFD6ED">
            <w:pPr>
              <w:rPr>
                <w:rFonts w:ascii="宋体" w:hAnsi="宋体" w:cs="宋体"/>
              </w:rPr>
            </w:pPr>
            <w:r>
              <w:rPr>
                <w:rFonts w:ascii="宋体" w:hAnsi="宋体" w:cs="宋体"/>
              </w:rPr>
              <w:t>1）</w:t>
            </w:r>
            <w:r>
              <w:rPr>
                <w:rFonts w:hint="eastAsia" w:ascii="宋体" w:hAnsi="宋体" w:cs="宋体"/>
              </w:rPr>
              <w:t>采购内容中所有</w:t>
            </w:r>
            <w:r>
              <w:rPr>
                <w:rFonts w:ascii="宋体" w:hAnsi="宋体" w:cs="宋体"/>
              </w:rPr>
              <w:t>货物</w:t>
            </w:r>
            <w:r>
              <w:rPr>
                <w:rFonts w:hint="eastAsia" w:ascii="宋体" w:hAnsi="宋体" w:cs="宋体"/>
              </w:rPr>
              <w:t>和</w:t>
            </w:r>
            <w:r>
              <w:rPr>
                <w:rFonts w:ascii="宋体" w:hAnsi="宋体" w:cs="宋体"/>
              </w:rPr>
              <w:t>服务的价格；</w:t>
            </w:r>
          </w:p>
          <w:p w14:paraId="020E3E98">
            <w:pPr>
              <w:rPr>
                <w:rFonts w:ascii="宋体" w:hAnsi="宋体" w:cs="宋体"/>
              </w:rPr>
            </w:pPr>
            <w:r>
              <w:rPr>
                <w:rFonts w:ascii="宋体" w:hAnsi="宋体" w:cs="宋体"/>
              </w:rPr>
              <w:t>2）货物的标准附件、备品备件、专用工具的价格；</w:t>
            </w:r>
          </w:p>
          <w:p w14:paraId="4E108498">
            <w:pPr>
              <w:rPr>
                <w:rFonts w:ascii="宋体" w:hAnsi="宋体" w:cs="宋体"/>
              </w:rPr>
            </w:pPr>
            <w:r>
              <w:rPr>
                <w:rFonts w:ascii="宋体" w:hAnsi="宋体" w:cs="宋体"/>
              </w:rPr>
              <w:t>3）运输、装卸、</w:t>
            </w:r>
            <w:r>
              <w:rPr>
                <w:rFonts w:hint="eastAsia" w:ascii="宋体" w:hAnsi="宋体" w:cs="宋体"/>
              </w:rPr>
              <w:t>安装（含安装材料）、</w:t>
            </w:r>
            <w:r>
              <w:rPr>
                <w:rFonts w:ascii="宋体" w:hAnsi="宋体" w:cs="宋体"/>
              </w:rPr>
              <w:t>调试、培训、技术支持、售后服务</w:t>
            </w:r>
            <w:r>
              <w:rPr>
                <w:rFonts w:hint="eastAsia" w:ascii="宋体" w:hAnsi="宋体" w:cs="宋体"/>
              </w:rPr>
              <w:t>的费用，</w:t>
            </w:r>
            <w:r>
              <w:rPr>
                <w:rFonts w:ascii="宋体" w:hAnsi="宋体" w:cs="宋体"/>
              </w:rPr>
              <w:t>质保期内免费</w:t>
            </w:r>
            <w:r>
              <w:rPr>
                <w:rFonts w:hint="eastAsia" w:ascii="宋体" w:hAnsi="宋体" w:cs="宋体"/>
              </w:rPr>
              <w:t>维修、养</w:t>
            </w:r>
            <w:r>
              <w:rPr>
                <w:rFonts w:ascii="宋体" w:hAnsi="宋体" w:cs="宋体"/>
              </w:rPr>
              <w:t>护</w:t>
            </w:r>
            <w:r>
              <w:rPr>
                <w:rFonts w:hint="eastAsia" w:ascii="宋体" w:hAnsi="宋体" w:cs="宋体"/>
              </w:rPr>
              <w:t>、软件升级</w:t>
            </w:r>
            <w:r>
              <w:rPr>
                <w:rFonts w:ascii="宋体" w:hAnsi="宋体" w:cs="宋体"/>
              </w:rPr>
              <w:t>等费用；</w:t>
            </w:r>
          </w:p>
          <w:p w14:paraId="0714E59E">
            <w:pPr>
              <w:rPr>
                <w:rFonts w:ascii="宋体" w:hAnsi="宋体" w:cs="宋体"/>
              </w:rPr>
            </w:pPr>
            <w:r>
              <w:rPr>
                <w:rFonts w:ascii="宋体" w:hAnsi="宋体" w:cs="宋体"/>
              </w:rPr>
              <w:t>4）必要的保险</w:t>
            </w:r>
            <w:r>
              <w:rPr>
                <w:rFonts w:hint="eastAsia" w:ascii="宋体" w:hAnsi="宋体" w:cs="宋体"/>
              </w:rPr>
              <w:t>、检测</w:t>
            </w:r>
            <w:r>
              <w:rPr>
                <w:rFonts w:ascii="宋体" w:hAnsi="宋体" w:cs="宋体"/>
              </w:rPr>
              <w:t>费用和各项税费</w:t>
            </w:r>
            <w:r>
              <w:rPr>
                <w:rFonts w:hint="eastAsia" w:ascii="宋体" w:hAnsi="宋体" w:cs="宋体"/>
              </w:rPr>
              <w:t>等。</w:t>
            </w:r>
          </w:p>
        </w:tc>
      </w:tr>
      <w:tr w14:paraId="172D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0E97E648">
            <w:pPr>
              <w:jc w:val="center"/>
              <w:rPr>
                <w:rFonts w:ascii="宋体" w:hAnsi="宋体"/>
                <w:b/>
                <w:bCs/>
                <w:color w:val="000000"/>
              </w:rPr>
            </w:pPr>
            <w:r>
              <w:rPr>
                <w:rFonts w:hint="eastAsia" w:ascii="宋体" w:hAnsi="宋体" w:cs="宋体"/>
                <w:b/>
                <w:bCs/>
              </w:rPr>
              <w:t>质保期</w:t>
            </w:r>
          </w:p>
        </w:tc>
        <w:tc>
          <w:tcPr>
            <w:tcW w:w="4393" w:type="pct"/>
            <w:gridSpan w:val="7"/>
            <w:noWrap w:val="0"/>
            <w:tcMar>
              <w:top w:w="13" w:type="dxa"/>
              <w:left w:w="57" w:type="dxa"/>
              <w:bottom w:w="0" w:type="dxa"/>
              <w:right w:w="57" w:type="dxa"/>
            </w:tcMar>
            <w:vAlign w:val="center"/>
          </w:tcPr>
          <w:p w14:paraId="489DB936">
            <w:pPr>
              <w:rPr>
                <w:rFonts w:ascii="宋体" w:hAnsi="宋体" w:cs="宋体"/>
              </w:rPr>
            </w:pPr>
            <w:r>
              <w:rPr>
                <w:rFonts w:ascii="宋体" w:hAnsi="宋体" w:cs="宋体"/>
                <w:b/>
              </w:rPr>
              <w:t>1.</w:t>
            </w:r>
            <w:r>
              <w:rPr>
                <w:rFonts w:hint="eastAsia" w:ascii="宋体" w:hAnsi="宋体" w:cs="宋体"/>
                <w:b/>
              </w:rPr>
              <w:t>质保期：</w:t>
            </w:r>
            <w:r>
              <w:rPr>
                <w:rFonts w:hint="eastAsia" w:ascii="宋体" w:hAnsi="宋体" w:cs="宋体"/>
                <w:b/>
                <w:highlight w:val="none"/>
                <w:u w:val="single"/>
                <w:lang w:val="en-US" w:eastAsia="zh-CN"/>
              </w:rPr>
              <w:t>5</w:t>
            </w:r>
            <w:bookmarkStart w:id="3" w:name="_GoBack"/>
            <w:bookmarkEnd w:id="3"/>
            <w:r>
              <w:rPr>
                <w:rFonts w:hint="eastAsia" w:ascii="宋体" w:hAnsi="宋体" w:cs="宋体"/>
                <w:b/>
                <w:highlight w:val="none"/>
                <w:u w:val="single"/>
                <w:lang w:val="en-US" w:eastAsia="zh-CN"/>
              </w:rPr>
              <w:t>年</w:t>
            </w:r>
            <w:r>
              <w:rPr>
                <w:rFonts w:hint="eastAsia" w:ascii="宋体" w:hAnsi="宋体" w:cs="宋体"/>
                <w:b/>
              </w:rPr>
              <w:t>。</w:t>
            </w:r>
            <w:r>
              <w:rPr>
                <w:rFonts w:hint="eastAsia" w:ascii="宋体" w:hAnsi="宋体" w:cs="宋体"/>
              </w:rPr>
              <w:t>（分项货物服务要求中有特别注明的，按特别注明的执行）</w:t>
            </w:r>
          </w:p>
          <w:p w14:paraId="14C9F8EB">
            <w:pPr>
              <w:rPr>
                <w:rFonts w:ascii="宋体" w:hAnsi="宋体"/>
                <w:color w:val="000000"/>
              </w:rPr>
            </w:pPr>
            <w:r>
              <w:rPr>
                <w:rFonts w:hint="eastAsia" w:ascii="宋体" w:hAnsi="宋体" w:cs="宋体"/>
              </w:rPr>
              <w:t>2.所有货物服务</w:t>
            </w:r>
            <w:r>
              <w:rPr>
                <w:rFonts w:ascii="宋体" w:hAnsi="宋体" w:cs="宋体"/>
              </w:rPr>
              <w:t>按</w:t>
            </w:r>
            <w:r>
              <w:rPr>
                <w:rFonts w:hint="eastAsia" w:ascii="宋体" w:hAnsi="宋体" w:cs="宋体"/>
              </w:rPr>
              <w:t>国家</w:t>
            </w:r>
            <w:r>
              <w:rPr>
                <w:rFonts w:ascii="宋体" w:hAnsi="宋体" w:cs="宋体"/>
              </w:rPr>
              <w:t>“三包”</w:t>
            </w:r>
            <w:r>
              <w:rPr>
                <w:rFonts w:hint="eastAsia" w:ascii="宋体" w:hAnsi="宋体" w:cs="宋体"/>
              </w:rPr>
              <w:t>有关</w:t>
            </w:r>
            <w:r>
              <w:rPr>
                <w:rFonts w:ascii="宋体" w:hAnsi="宋体" w:cs="宋体"/>
              </w:rPr>
              <w:t>规定执行“三包”</w:t>
            </w:r>
            <w:r>
              <w:rPr>
                <w:rFonts w:hint="eastAsia" w:ascii="宋体" w:hAnsi="宋体" w:cs="宋体"/>
              </w:rPr>
              <w:t>。质保期自交付验收合格之日起计算，质保期内提供上门维修、更换和软件升级服务；质保期结束后，提供终身维护，并优惠提供相关零配件。</w:t>
            </w:r>
          </w:p>
        </w:tc>
      </w:tr>
      <w:tr w14:paraId="4A9D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5A015A9E">
            <w:pPr>
              <w:jc w:val="center"/>
              <w:rPr>
                <w:rFonts w:ascii="宋体" w:hAnsi="宋体" w:cs="宋体"/>
                <w:b/>
                <w:bCs/>
              </w:rPr>
            </w:pPr>
            <w:r>
              <w:rPr>
                <w:rFonts w:hint="eastAsia" w:ascii="宋体" w:hAnsi="宋体" w:cs="宋体"/>
                <w:b/>
                <w:bCs/>
              </w:rPr>
              <w:t>产品及售后服务要求</w:t>
            </w:r>
          </w:p>
        </w:tc>
        <w:tc>
          <w:tcPr>
            <w:tcW w:w="4393" w:type="pct"/>
            <w:gridSpan w:val="7"/>
            <w:noWrap w:val="0"/>
            <w:tcMar>
              <w:top w:w="13" w:type="dxa"/>
              <w:left w:w="57" w:type="dxa"/>
              <w:bottom w:w="0" w:type="dxa"/>
              <w:right w:w="57" w:type="dxa"/>
            </w:tcMar>
            <w:vAlign w:val="center"/>
          </w:tcPr>
          <w:p w14:paraId="4ECA9000">
            <w:pPr>
              <w:rPr>
                <w:rFonts w:ascii="宋体" w:hAnsi="宋体" w:cs="宋体"/>
              </w:rPr>
            </w:pPr>
            <w:r>
              <w:rPr>
                <w:rFonts w:ascii="宋体" w:hAnsi="宋体" w:cs="宋体"/>
              </w:rPr>
              <w:t>1.</w:t>
            </w:r>
            <w:r>
              <w:rPr>
                <w:rFonts w:hint="eastAsia" w:ascii="宋体" w:hAnsi="宋体" w:cs="宋体"/>
              </w:rPr>
              <w:t>成交人</w:t>
            </w:r>
            <w:r>
              <w:rPr>
                <w:rFonts w:ascii="宋体" w:hAnsi="宋体" w:cs="宋体"/>
              </w:rPr>
              <w:t>交付的所有</w:t>
            </w:r>
            <w:r>
              <w:rPr>
                <w:rFonts w:hint="eastAsia" w:ascii="宋体" w:hAnsi="宋体" w:cs="宋体"/>
                <w:b/>
              </w:rPr>
              <w:t>货物</w:t>
            </w:r>
            <w:r>
              <w:rPr>
                <w:rFonts w:ascii="宋体" w:hAnsi="宋体" w:cs="宋体"/>
              </w:rPr>
              <w:t>必须是签订合同之日</w:t>
            </w:r>
            <w:r>
              <w:rPr>
                <w:rFonts w:ascii="宋体" w:hAnsi="宋体" w:cs="宋体"/>
                <w:b/>
              </w:rPr>
              <w:t>前</w:t>
            </w:r>
            <w:r>
              <w:rPr>
                <w:rFonts w:hint="eastAsia" w:ascii="宋体" w:hAnsi="宋体" w:cs="宋体"/>
                <w:b/>
                <w:u w:val="single"/>
              </w:rPr>
              <w:t xml:space="preserve"> 半年 </w:t>
            </w:r>
            <w:r>
              <w:rPr>
                <w:rFonts w:ascii="宋体" w:hAnsi="宋体" w:cs="宋体"/>
              </w:rPr>
              <w:t>内生产的产品</w:t>
            </w:r>
            <w:r>
              <w:rPr>
                <w:rFonts w:hint="eastAsia" w:ascii="宋体" w:hAnsi="宋体" w:cs="宋体"/>
              </w:rPr>
              <w:t>，</w:t>
            </w:r>
            <w:r>
              <w:rPr>
                <w:rFonts w:ascii="宋体" w:hAnsi="宋体" w:cs="宋体"/>
              </w:rPr>
              <w:t>。</w:t>
            </w:r>
          </w:p>
          <w:p w14:paraId="590849F5">
            <w:pPr>
              <w:rPr>
                <w:rFonts w:ascii="宋体" w:hAnsi="宋体" w:cs="宋体"/>
                <w:b/>
              </w:rPr>
            </w:pPr>
            <w:r>
              <w:rPr>
                <w:rFonts w:hint="eastAsia" w:ascii="宋体" w:hAnsi="宋体" w:cs="宋体"/>
              </w:rPr>
              <w:t>2</w:t>
            </w:r>
            <w:r>
              <w:rPr>
                <w:rFonts w:ascii="宋体" w:hAnsi="宋体" w:cs="宋体"/>
              </w:rPr>
              <w:t>.</w:t>
            </w:r>
            <w:r>
              <w:rPr>
                <w:rFonts w:hint="eastAsia" w:ascii="宋体" w:hAnsi="宋体" w:cs="宋体"/>
              </w:rPr>
              <w:t>送货至采购人指定地点，协助进行安装场地设计，完成安装和调试。所有安装应符合国家、行业相关标准及规范。</w:t>
            </w:r>
            <w:r>
              <w:rPr>
                <w:rFonts w:hint="eastAsia" w:ascii="宋体" w:hAnsi="宋体" w:cs="宋体"/>
                <w:b/>
              </w:rPr>
              <w:t>（所有货物仅接受现场交付，不接受邮递）</w:t>
            </w:r>
          </w:p>
          <w:p w14:paraId="6B9667BB">
            <w:pPr>
              <w:rPr>
                <w:rFonts w:ascii="宋体" w:hAnsi="宋体" w:cs="宋体"/>
              </w:rPr>
            </w:pPr>
            <w:r>
              <w:rPr>
                <w:rFonts w:ascii="宋体" w:hAnsi="宋体" w:cs="宋体"/>
              </w:rPr>
              <w:t>3.为采购</w:t>
            </w:r>
            <w:r>
              <w:rPr>
                <w:rFonts w:hint="eastAsia" w:ascii="宋体" w:hAnsi="宋体" w:cs="宋体"/>
              </w:rPr>
              <w:t>人</w:t>
            </w:r>
            <w:r>
              <w:rPr>
                <w:rFonts w:ascii="宋体" w:hAnsi="宋体" w:cs="宋体"/>
              </w:rPr>
              <w:t>提供</w:t>
            </w:r>
            <w:r>
              <w:rPr>
                <w:rFonts w:hint="eastAsia" w:ascii="宋体" w:hAnsi="宋体" w:cs="宋体"/>
              </w:rPr>
              <w:t>产品</w:t>
            </w:r>
            <w:r>
              <w:rPr>
                <w:rFonts w:ascii="宋体" w:hAnsi="宋体" w:cs="宋体"/>
              </w:rPr>
              <w:t>操作</w:t>
            </w:r>
            <w:r>
              <w:rPr>
                <w:rFonts w:hint="eastAsia" w:ascii="宋体" w:hAnsi="宋体" w:cs="宋体"/>
              </w:rPr>
              <w:t>、维修、日常养护等方面的</w:t>
            </w:r>
            <w:r>
              <w:rPr>
                <w:rFonts w:ascii="宋体" w:hAnsi="宋体" w:cs="宋体"/>
              </w:rPr>
              <w:t>培训，确保</w:t>
            </w:r>
            <w:r>
              <w:rPr>
                <w:rFonts w:hint="eastAsia" w:ascii="宋体" w:hAnsi="宋体" w:cs="宋体"/>
              </w:rPr>
              <w:t>采购方使用人员</w:t>
            </w:r>
            <w:r>
              <w:rPr>
                <w:rFonts w:ascii="宋体" w:hAnsi="宋体" w:cs="宋体"/>
              </w:rPr>
              <w:t>能独立操作使用</w:t>
            </w:r>
            <w:r>
              <w:rPr>
                <w:rFonts w:hint="eastAsia" w:ascii="宋体" w:hAnsi="宋体" w:cs="宋体"/>
              </w:rPr>
              <w:t>，</w:t>
            </w:r>
            <w:r>
              <w:rPr>
                <w:rFonts w:ascii="宋体" w:hAnsi="宋体" w:cs="宋体"/>
              </w:rPr>
              <w:t>培训人数</w:t>
            </w:r>
            <w:r>
              <w:rPr>
                <w:rFonts w:hint="eastAsia" w:ascii="宋体" w:hAnsi="宋体" w:cs="宋体"/>
              </w:rPr>
              <w:t>、时间、地点等</w:t>
            </w:r>
            <w:r>
              <w:rPr>
                <w:rFonts w:ascii="宋体" w:hAnsi="宋体" w:cs="宋体"/>
              </w:rPr>
              <w:t>由采购</w:t>
            </w:r>
            <w:r>
              <w:rPr>
                <w:rFonts w:hint="eastAsia" w:ascii="宋体" w:hAnsi="宋体" w:cs="宋体"/>
              </w:rPr>
              <w:t>人指定</w:t>
            </w:r>
            <w:r>
              <w:rPr>
                <w:rFonts w:ascii="宋体" w:hAnsi="宋体" w:cs="宋体"/>
              </w:rPr>
              <w:t>。</w:t>
            </w:r>
          </w:p>
          <w:p w14:paraId="4FDCA367">
            <w:pPr>
              <w:rPr>
                <w:rFonts w:ascii="宋体" w:hAnsi="宋体" w:cs="宋体"/>
              </w:rPr>
            </w:pPr>
            <w:r>
              <w:rPr>
                <w:rFonts w:ascii="宋体" w:hAnsi="宋体" w:cs="宋体"/>
              </w:rPr>
              <w:t>4.故障响应时间：在使用过程中</w:t>
            </w:r>
            <w:r>
              <w:rPr>
                <w:rFonts w:hint="eastAsia" w:ascii="宋体" w:hAnsi="宋体" w:cs="宋体"/>
              </w:rPr>
              <w:t>出现</w:t>
            </w:r>
            <w:r>
              <w:rPr>
                <w:rFonts w:ascii="宋体" w:hAnsi="宋体" w:cs="宋体"/>
              </w:rPr>
              <w:t>质量问题，</w:t>
            </w:r>
            <w:r>
              <w:rPr>
                <w:rFonts w:hint="eastAsia" w:ascii="宋体" w:hAnsi="宋体" w:cs="宋体"/>
              </w:rPr>
              <w:t>成交人</w:t>
            </w:r>
            <w:r>
              <w:rPr>
                <w:rFonts w:ascii="宋体" w:hAnsi="宋体" w:cs="宋体"/>
              </w:rPr>
              <w:t>在接到</w:t>
            </w:r>
            <w:r>
              <w:rPr>
                <w:rFonts w:hint="eastAsia" w:ascii="宋体" w:hAnsi="宋体" w:cs="宋体"/>
              </w:rPr>
              <w:t>采购人</w:t>
            </w:r>
            <w:r>
              <w:rPr>
                <w:rFonts w:ascii="宋体" w:hAnsi="宋体" w:cs="宋体"/>
              </w:rPr>
              <w:t>通知后1小时</w:t>
            </w:r>
            <w:r>
              <w:rPr>
                <w:rFonts w:hint="eastAsia" w:ascii="宋体" w:hAnsi="宋体" w:cs="宋体"/>
              </w:rPr>
              <w:t>作出</w:t>
            </w:r>
            <w:r>
              <w:rPr>
                <w:rFonts w:ascii="宋体" w:hAnsi="宋体" w:cs="宋体"/>
              </w:rPr>
              <w:t>响应</w:t>
            </w:r>
            <w:r>
              <w:rPr>
                <w:rFonts w:hint="eastAsia" w:ascii="宋体" w:hAnsi="宋体" w:cs="宋体"/>
              </w:rPr>
              <w:t>；如需到达现场解决的，在</w:t>
            </w:r>
            <w:r>
              <w:rPr>
                <w:rFonts w:ascii="宋体" w:hAnsi="宋体" w:cs="宋体"/>
              </w:rPr>
              <w:t>8小时内</w:t>
            </w:r>
            <w:r>
              <w:rPr>
                <w:rFonts w:hint="eastAsia" w:ascii="宋体" w:hAnsi="宋体" w:cs="宋体"/>
              </w:rPr>
              <w:t>应</w:t>
            </w:r>
            <w:r>
              <w:rPr>
                <w:rFonts w:ascii="宋体" w:hAnsi="宋体" w:cs="宋体"/>
              </w:rPr>
              <w:t>到达现场。</w:t>
            </w:r>
          </w:p>
          <w:p w14:paraId="27CCD28C">
            <w:pPr>
              <w:rPr>
                <w:rFonts w:ascii="宋体" w:hAnsi="宋体" w:cs="宋体"/>
              </w:rPr>
            </w:pPr>
            <w:r>
              <w:rPr>
                <w:rFonts w:ascii="宋体" w:hAnsi="宋体" w:cs="宋体"/>
              </w:rPr>
              <w:t>5.</w:t>
            </w:r>
            <w:r>
              <w:rPr>
                <w:rFonts w:hint="eastAsia" w:ascii="宋体" w:hAnsi="宋体" w:cs="宋体"/>
              </w:rPr>
              <w:t>成交人须遵守校园出入规定，在供货、安装过程中确保相关人员安全。</w:t>
            </w:r>
            <w:r>
              <w:rPr>
                <w:rFonts w:ascii="宋体" w:hAnsi="宋体" w:cs="宋体"/>
              </w:rPr>
              <w:t>供货</w:t>
            </w:r>
            <w:r>
              <w:rPr>
                <w:rFonts w:hint="eastAsia" w:ascii="宋体" w:hAnsi="宋体" w:cs="宋体"/>
              </w:rPr>
              <w:t>、</w:t>
            </w:r>
            <w:r>
              <w:rPr>
                <w:rFonts w:ascii="宋体" w:hAnsi="宋体" w:cs="宋体"/>
              </w:rPr>
              <w:t>安装过程中产生的残留物或垃圾，</w:t>
            </w:r>
            <w:r>
              <w:rPr>
                <w:rFonts w:hint="eastAsia" w:ascii="宋体" w:hAnsi="宋体" w:cs="宋体"/>
              </w:rPr>
              <w:t>成交人需</w:t>
            </w:r>
            <w:r>
              <w:rPr>
                <w:rFonts w:ascii="宋体" w:hAnsi="宋体" w:cs="宋体"/>
              </w:rPr>
              <w:t>自行清理至校外。</w:t>
            </w:r>
          </w:p>
        </w:tc>
      </w:tr>
      <w:tr w14:paraId="1307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76D4E804">
            <w:pPr>
              <w:jc w:val="center"/>
              <w:rPr>
                <w:rFonts w:ascii="宋体" w:hAnsi="宋体"/>
                <w:b/>
                <w:bCs/>
                <w:color w:val="000000"/>
              </w:rPr>
            </w:pPr>
            <w:r>
              <w:rPr>
                <w:rFonts w:hint="eastAsia" w:ascii="宋体" w:hAnsi="宋体" w:cs="宋体"/>
                <w:b/>
                <w:bCs/>
              </w:rPr>
              <w:t>交付时间</w:t>
            </w:r>
          </w:p>
        </w:tc>
        <w:tc>
          <w:tcPr>
            <w:tcW w:w="4393" w:type="pct"/>
            <w:gridSpan w:val="7"/>
            <w:noWrap w:val="0"/>
            <w:tcMar>
              <w:top w:w="13" w:type="dxa"/>
              <w:left w:w="57" w:type="dxa"/>
              <w:bottom w:w="0" w:type="dxa"/>
              <w:right w:w="57" w:type="dxa"/>
            </w:tcMar>
            <w:vAlign w:val="center"/>
          </w:tcPr>
          <w:p w14:paraId="7B72BEAF">
            <w:pPr>
              <w:rPr>
                <w:rFonts w:ascii="宋体" w:hAnsi="宋体" w:cs="宋体"/>
                <w:spacing w:val="-2"/>
              </w:rPr>
            </w:pPr>
            <w:r>
              <w:rPr>
                <w:rFonts w:ascii="宋体" w:hAnsi="宋体" w:cs="宋体"/>
                <w:spacing w:val="-2"/>
              </w:rPr>
              <w:t>1.交</w:t>
            </w:r>
            <w:r>
              <w:rPr>
                <w:rFonts w:hint="eastAsia" w:ascii="宋体" w:hAnsi="宋体" w:cs="宋体"/>
                <w:spacing w:val="-2"/>
              </w:rPr>
              <w:t>付</w:t>
            </w:r>
            <w:r>
              <w:rPr>
                <w:rFonts w:ascii="宋体" w:hAnsi="宋体" w:cs="宋体"/>
                <w:spacing w:val="-2"/>
              </w:rPr>
              <w:t>时间：自签订合同之日起</w:t>
            </w:r>
            <w:r>
              <w:rPr>
                <w:rFonts w:hint="eastAsia" w:ascii="宋体" w:hAnsi="宋体" w:cs="宋体"/>
                <w:b/>
                <w:spacing w:val="-2"/>
                <w:u w:val="single"/>
              </w:rPr>
              <w:t xml:space="preserve">    </w:t>
            </w:r>
            <w:r>
              <w:rPr>
                <w:rFonts w:hint="eastAsia" w:ascii="宋体" w:hAnsi="宋体" w:cs="宋体"/>
                <w:b/>
                <w:spacing w:val="-2"/>
                <w:u w:val="single"/>
                <w:lang w:val="en-US" w:eastAsia="zh-CN"/>
              </w:rPr>
              <w:t>3</w:t>
            </w:r>
            <w:r>
              <w:rPr>
                <w:rFonts w:hint="eastAsia" w:ascii="宋体" w:hAnsi="宋体" w:cs="宋体"/>
                <w:b/>
                <w:spacing w:val="-2"/>
                <w:u w:val="single"/>
              </w:rPr>
              <w:t xml:space="preserve">0日内   </w:t>
            </w:r>
            <w:r>
              <w:rPr>
                <w:rFonts w:hint="eastAsia" w:ascii="宋体" w:hAnsi="宋体" w:cs="宋体"/>
                <w:spacing w:val="-2"/>
              </w:rPr>
              <w:t>全部交付完成并验收合格。</w:t>
            </w:r>
          </w:p>
          <w:p w14:paraId="076CC482">
            <w:pPr>
              <w:rPr>
                <w:rFonts w:ascii="宋体" w:hAnsi="宋体"/>
                <w:color w:val="000000"/>
              </w:rPr>
            </w:pPr>
            <w:r>
              <w:rPr>
                <w:rFonts w:ascii="宋体" w:hAnsi="宋体" w:cs="宋体"/>
              </w:rPr>
              <w:t>2.交</w:t>
            </w:r>
            <w:r>
              <w:rPr>
                <w:rFonts w:hint="eastAsia" w:ascii="宋体" w:hAnsi="宋体" w:cs="宋体"/>
              </w:rPr>
              <w:t>付</w:t>
            </w:r>
            <w:r>
              <w:rPr>
                <w:rFonts w:ascii="宋体" w:hAnsi="宋体" w:cs="宋体"/>
              </w:rPr>
              <w:t>地点：广西</w:t>
            </w:r>
            <w:r>
              <w:rPr>
                <w:rFonts w:hint="eastAsia" w:ascii="宋体" w:hAnsi="宋体" w:cs="宋体"/>
                <w:lang w:val="en-US" w:eastAsia="zh-CN"/>
              </w:rPr>
              <w:t>中医药</w:t>
            </w:r>
            <w:r>
              <w:rPr>
                <w:rFonts w:hint="eastAsia" w:ascii="宋体" w:hAnsi="宋体" w:cs="宋体"/>
              </w:rPr>
              <w:t>大学</w:t>
            </w:r>
            <w:r>
              <w:rPr>
                <w:rFonts w:ascii="宋体" w:hAnsi="宋体" w:cs="宋体"/>
              </w:rPr>
              <w:t>。</w:t>
            </w:r>
          </w:p>
        </w:tc>
      </w:tr>
      <w:tr w14:paraId="211F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5000" w:type="pct"/>
            <w:gridSpan w:val="9"/>
            <w:noWrap w:val="0"/>
            <w:tcMar>
              <w:top w:w="13" w:type="dxa"/>
              <w:left w:w="57" w:type="dxa"/>
              <w:bottom w:w="0" w:type="dxa"/>
              <w:right w:w="57" w:type="dxa"/>
            </w:tcMar>
            <w:vAlign w:val="center"/>
          </w:tcPr>
          <w:p w14:paraId="5E83248E">
            <w:pPr>
              <w:rPr>
                <w:rFonts w:ascii="宋体" w:hAnsi="宋体" w:cs="宋体"/>
              </w:rPr>
            </w:pPr>
            <w:r>
              <w:rPr>
                <w:rFonts w:hint="eastAsia" w:ascii="宋体" w:hAnsi="宋体"/>
                <w:b/>
                <w:bCs/>
                <w:color w:val="000000"/>
              </w:rPr>
              <w:t>三、其它要求</w:t>
            </w:r>
          </w:p>
        </w:tc>
      </w:tr>
      <w:tr w14:paraId="6FC1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5000" w:type="pct"/>
            <w:gridSpan w:val="9"/>
            <w:noWrap w:val="0"/>
            <w:tcMar>
              <w:top w:w="13" w:type="dxa"/>
              <w:left w:w="57" w:type="dxa"/>
              <w:bottom w:w="0" w:type="dxa"/>
              <w:right w:w="57" w:type="dxa"/>
            </w:tcMar>
            <w:vAlign w:val="center"/>
          </w:tcPr>
          <w:p w14:paraId="562D8478">
            <w:pPr>
              <w:rPr>
                <w:rFonts w:ascii="宋体" w:hAnsi="宋体" w:cs="宋体"/>
              </w:rPr>
            </w:pPr>
            <w:r>
              <w:rPr>
                <w:rFonts w:hint="eastAsia" w:ascii="宋体" w:hAnsi="宋体" w:cs="宋体"/>
                <w:color w:val="FF0000"/>
              </w:rPr>
              <w:t>（填写其他补充事项）</w:t>
            </w:r>
          </w:p>
        </w:tc>
      </w:tr>
    </w:tbl>
    <w:p w14:paraId="21ACB7AD">
      <w:pPr>
        <w:rPr>
          <w:rFonts w:ascii="宋体" w:hAnsi="宋体" w:cs="仿宋"/>
          <w:bCs/>
          <w:color w:val="000000"/>
        </w:rPr>
      </w:pPr>
      <w:r>
        <w:rPr>
          <w:rFonts w:hint="eastAsia" w:ascii="宋体" w:hAnsi="宋体" w:cs="仿宋"/>
          <w:color w:val="000000"/>
          <w:sz w:val="18"/>
        </w:rPr>
        <w:t>注：所有价格均用人民币表示，单位为元，精确到小数点后两位。</w:t>
      </w:r>
    </w:p>
    <w:p w14:paraId="5E27CFD2">
      <w:pPr>
        <w:spacing w:line="460" w:lineRule="exact"/>
        <w:rPr>
          <w:rFonts w:ascii="宋体" w:hAnsi="宋体" w:cs="仿宋"/>
          <w:bCs/>
          <w:color w:val="000000"/>
        </w:rPr>
      </w:pPr>
    </w:p>
    <w:p w14:paraId="01860F63">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供应商全称：</w:t>
      </w:r>
      <w:r>
        <w:rPr>
          <w:rFonts w:hint="eastAsia" w:ascii="宋体" w:hAnsi="宋体" w:cs="宋体"/>
          <w:sz w:val="28"/>
          <w:szCs w:val="28"/>
          <w:u w:val="single"/>
        </w:rPr>
        <w:t xml:space="preserve">                         </w:t>
      </w:r>
      <w:r>
        <w:rPr>
          <w:rFonts w:hint="eastAsia" w:ascii="宋体" w:hAnsi="宋体" w:cs="宋体"/>
          <w:sz w:val="28"/>
          <w:szCs w:val="28"/>
        </w:rPr>
        <w:t>（公章）</w:t>
      </w:r>
    </w:p>
    <w:p w14:paraId="56DFAB6F">
      <w:pPr>
        <w:spacing w:line="360" w:lineRule="auto"/>
        <w:ind w:left="10" w:leftChars="5" w:firstLine="554" w:firstLineChars="198"/>
        <w:rPr>
          <w:rFonts w:ascii="宋体" w:hAnsi="宋体"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（签字或签章）</w:t>
      </w:r>
    </w:p>
    <w:p w14:paraId="6D916B5E">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供应商地址：</w:t>
      </w:r>
      <w:r>
        <w:rPr>
          <w:rFonts w:hint="eastAsia" w:ascii="宋体" w:hAnsi="宋体" w:cs="宋体"/>
          <w:sz w:val="28"/>
          <w:szCs w:val="28"/>
          <w:u w:val="single"/>
        </w:rPr>
        <w:tab/>
      </w:r>
      <w:r>
        <w:rPr>
          <w:rFonts w:hint="eastAsia" w:ascii="宋体" w:hAnsi="宋体" w:cs="宋体"/>
          <w:sz w:val="28"/>
          <w:szCs w:val="28"/>
          <w:u w:val="single"/>
        </w:rPr>
        <w:t xml:space="preserve">   </w:t>
      </w:r>
      <w:r>
        <w:rPr>
          <w:rFonts w:ascii="宋体" w:hAnsi="宋体" w:cs="宋体"/>
          <w:sz w:val="28"/>
          <w:szCs w:val="28"/>
          <w:u w:val="single"/>
        </w:rPr>
        <w:t xml:space="preserve">                    </w:t>
      </w:r>
    </w:p>
    <w:p w14:paraId="335B2FE3">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供应商联系方式：</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（联系人、联系电话）</w:t>
      </w:r>
    </w:p>
    <w:p w14:paraId="0395909A">
      <w:pPr>
        <w:spacing w:line="360" w:lineRule="auto"/>
        <w:rPr>
          <w:rFonts w:ascii="宋体" w:hAnsi="宋体" w:cs="宋体"/>
          <w:sz w:val="28"/>
          <w:szCs w:val="28"/>
        </w:rPr>
      </w:pPr>
    </w:p>
    <w:p w14:paraId="32932B66">
      <w:pPr>
        <w:spacing w:line="360" w:lineRule="auto"/>
        <w:ind w:left="10" w:leftChars="1" w:hanging="8" w:hangingChars="3"/>
        <w:jc w:val="cente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2A60D885">
      <w:pPr>
        <w:pStyle w:val="2"/>
        <w:keepNext w:val="0"/>
        <w:keepLines w:val="0"/>
        <w:widowControl/>
        <w:suppressLineNumbers w:val="0"/>
        <w:spacing w:line="420" w:lineRule="atLeast"/>
        <w:jc w:val="left"/>
        <w:rPr>
          <w:rFonts w:hint="eastAsia" w:ascii="微软雅黑" w:hAnsi="微软雅黑" w:eastAsia="微软雅黑" w:cs="微软雅黑"/>
          <w:i w:val="0"/>
          <w:iCs w:val="0"/>
          <w:caps w:val="0"/>
          <w:color w:val="000000"/>
          <w:spacing w:val="0"/>
          <w:sz w:val="24"/>
          <w:szCs w:val="24"/>
        </w:rPr>
      </w:pPr>
    </w:p>
    <w:p w14:paraId="5E59CF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062FB"/>
    <w:multiLevelType w:val="singleLevel"/>
    <w:tmpl w:val="9E3062F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3420E7B"/>
    <w:rsid w:val="083A0C0C"/>
    <w:rsid w:val="09A1725A"/>
    <w:rsid w:val="13623FB2"/>
    <w:rsid w:val="181302A6"/>
    <w:rsid w:val="1C093B64"/>
    <w:rsid w:val="1D1870F7"/>
    <w:rsid w:val="25D65498"/>
    <w:rsid w:val="2D3057C9"/>
    <w:rsid w:val="36E235B7"/>
    <w:rsid w:val="3B565EDD"/>
    <w:rsid w:val="3B6C16D9"/>
    <w:rsid w:val="3BA443D8"/>
    <w:rsid w:val="486B3145"/>
    <w:rsid w:val="4F311AFC"/>
    <w:rsid w:val="69C52446"/>
    <w:rsid w:val="741E7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5638</Words>
  <Characters>6726</Characters>
  <Lines>0</Lines>
  <Paragraphs>0</Paragraphs>
  <TotalTime>1</TotalTime>
  <ScaleCrop>false</ScaleCrop>
  <LinksUpToDate>false</LinksUpToDate>
  <CharactersWithSpaces>6969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一次心</cp:lastModifiedBy>
  <dcterms:modified xsi:type="dcterms:W3CDTF">2026-03-09T13:39:26Z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87B5EEB113BC46FB97D3FC1E80A38779_13</vt:lpwstr>
  </property>
  <property fmtid="{D5CDD505-2E9C-101B-9397-08002B2CF9AE}" pid="4" name="KSOTemplateDocerSaveRecord">
    <vt:lpwstr>eyJoZGlkIjoiMjcxMDljNjJjYWRmNTRhNzE4ZWE5ZGY2ZDExY2EyOTEiLCJ1c2VySWQiOiI0Mjc1NTAxODIifQ==</vt:lpwstr>
  </property>
</Properties>
</file>