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14A5" w:rsidRPr="00BD70AA" w:rsidRDefault="00C528C1" w:rsidP="009D14A5">
      <w:pPr>
        <w:tabs>
          <w:tab w:val="left" w:pos="709"/>
        </w:tabs>
        <w:spacing w:line="360" w:lineRule="auto"/>
        <w:ind w:right="600"/>
        <w:rPr>
          <w:rFonts w:ascii="宋体" w:eastAsia="宋体" w:hAnsi="宋体"/>
          <w:b/>
          <w:color w:val="000000" w:themeColor="text1"/>
          <w:sz w:val="32"/>
          <w:szCs w:val="32"/>
        </w:rPr>
      </w:pPr>
      <w:r>
        <w:rPr>
          <w:rFonts w:ascii="宋体" w:eastAsia="宋体" w:hAnsi="宋体" w:hint="eastAsia"/>
          <w:b/>
          <w:color w:val="000000" w:themeColor="text1"/>
          <w:sz w:val="32"/>
          <w:szCs w:val="32"/>
        </w:rPr>
        <w:t>664813901--</w:t>
      </w:r>
      <w:r w:rsidR="0074378B" w:rsidRPr="0074378B">
        <w:rPr>
          <w:rFonts w:ascii="宋体" w:eastAsia="宋体" w:hAnsi="宋体" w:hint="eastAsia"/>
          <w:b/>
          <w:color w:val="000000" w:themeColor="text1"/>
          <w:sz w:val="32"/>
          <w:szCs w:val="32"/>
        </w:rPr>
        <w:t>桂科青0832057/01</w:t>
      </w:r>
      <w:r w:rsidR="009D14A5" w:rsidRPr="00BD70AA">
        <w:rPr>
          <w:rFonts w:ascii="宋体" w:eastAsia="宋体" w:hAnsi="宋体" w:hint="eastAsia"/>
          <w:b/>
          <w:color w:val="000000" w:themeColor="text1"/>
          <w:sz w:val="32"/>
          <w:szCs w:val="32"/>
        </w:rPr>
        <w:t xml:space="preserve">             </w:t>
      </w:r>
      <w:r w:rsidR="00403BA9">
        <w:rPr>
          <w:rFonts w:ascii="宋体" w:eastAsia="宋体" w:hAnsi="宋体" w:hint="eastAsia"/>
          <w:b/>
          <w:color w:val="000000" w:themeColor="text1"/>
          <w:sz w:val="32"/>
          <w:szCs w:val="32"/>
        </w:rPr>
        <w:t xml:space="preserve">   </w:t>
      </w:r>
      <w:r w:rsidR="009D14A5" w:rsidRPr="00BD70AA">
        <w:rPr>
          <w:rFonts w:ascii="宋体" w:eastAsia="宋体" w:hAnsi="宋体" w:hint="eastAsia"/>
          <w:b/>
          <w:color w:val="000000" w:themeColor="text1"/>
          <w:sz w:val="32"/>
          <w:szCs w:val="32"/>
        </w:rPr>
        <w:t xml:space="preserve">公开        </w:t>
      </w:r>
    </w:p>
    <w:p w:rsidR="009D14A5" w:rsidRPr="00BD70AA" w:rsidRDefault="009D14A5" w:rsidP="009D14A5">
      <w:pPr>
        <w:spacing w:line="360" w:lineRule="auto"/>
        <w:rPr>
          <w:rFonts w:ascii="宋体" w:hAnsi="宋体"/>
          <w:color w:val="000000" w:themeColor="text1"/>
          <w:sz w:val="36"/>
          <w:szCs w:val="36"/>
        </w:rPr>
      </w:pPr>
    </w:p>
    <w:p w:rsidR="009D14A5" w:rsidRPr="00BD70AA" w:rsidRDefault="009D14A5" w:rsidP="009D14A5">
      <w:pPr>
        <w:spacing w:line="360" w:lineRule="auto"/>
        <w:jc w:val="center"/>
        <w:rPr>
          <w:rFonts w:ascii="黑体" w:eastAsia="黑体" w:hAnsi="宋体"/>
          <w:b/>
          <w:color w:val="000000" w:themeColor="text1"/>
          <w:sz w:val="72"/>
          <w:szCs w:val="72"/>
        </w:rPr>
      </w:pPr>
      <w:r w:rsidRPr="00BD70AA">
        <w:rPr>
          <w:rFonts w:ascii="黑体" w:eastAsia="黑体" w:hAnsi="宋体" w:hint="eastAsia"/>
          <w:b/>
          <w:color w:val="000000" w:themeColor="text1"/>
          <w:sz w:val="72"/>
          <w:szCs w:val="72"/>
        </w:rPr>
        <w:t>科 技 报 告</w:t>
      </w:r>
    </w:p>
    <w:p w:rsidR="009D14A5" w:rsidRPr="00BD70AA" w:rsidRDefault="009D14A5" w:rsidP="009D14A5">
      <w:pPr>
        <w:spacing w:line="360" w:lineRule="auto"/>
        <w:jc w:val="center"/>
        <w:rPr>
          <w:rFonts w:ascii="宋体" w:hAnsi="宋体"/>
          <w:color w:val="000000" w:themeColor="text1"/>
          <w:sz w:val="36"/>
          <w:szCs w:val="36"/>
        </w:rPr>
      </w:pPr>
    </w:p>
    <w:p w:rsidR="009D14A5" w:rsidRPr="00BD70AA" w:rsidRDefault="009D14A5" w:rsidP="009D14A5">
      <w:pPr>
        <w:spacing w:line="360" w:lineRule="auto"/>
        <w:jc w:val="center"/>
        <w:rPr>
          <w:rFonts w:ascii="宋体" w:hAnsi="宋体"/>
          <w:color w:val="000000" w:themeColor="text1"/>
          <w:sz w:val="36"/>
          <w:szCs w:val="36"/>
        </w:rPr>
      </w:pPr>
    </w:p>
    <w:p w:rsidR="00C528C1" w:rsidRDefault="009D14A5" w:rsidP="009D14A5">
      <w:pPr>
        <w:spacing w:line="360" w:lineRule="auto"/>
        <w:ind w:leftChars="312" w:left="2606" w:hangingChars="600" w:hanging="1920"/>
        <w:rPr>
          <w:rFonts w:ascii="宋体" w:eastAsia="宋体" w:hAnsi="宋体"/>
          <w:color w:val="000000" w:themeColor="text1"/>
          <w:sz w:val="32"/>
          <w:szCs w:val="32"/>
          <w:u w:val="single"/>
        </w:rPr>
      </w:pPr>
      <w:r w:rsidRPr="00BD70AA">
        <w:rPr>
          <w:rFonts w:ascii="宋体" w:eastAsia="宋体" w:hAnsi="宋体" w:hint="eastAsia"/>
          <w:color w:val="000000" w:themeColor="text1"/>
          <w:sz w:val="32"/>
          <w:szCs w:val="32"/>
        </w:rPr>
        <w:t>报告名称：</w:t>
      </w:r>
      <w:r w:rsidR="0074378B" w:rsidRPr="0074378B">
        <w:rPr>
          <w:rFonts w:ascii="宋体" w:eastAsia="宋体" w:hAnsi="宋体" w:hint="eastAsia"/>
          <w:color w:val="000000" w:themeColor="text1"/>
          <w:sz w:val="32"/>
          <w:szCs w:val="32"/>
          <w:u w:val="single"/>
        </w:rPr>
        <w:t>高致病性猪蓝耳病防控关键技术的研究</w:t>
      </w:r>
    </w:p>
    <w:p w:rsidR="009D14A5" w:rsidRDefault="0074378B" w:rsidP="00C528C1">
      <w:pPr>
        <w:spacing w:line="360" w:lineRule="auto"/>
        <w:ind w:leftChars="1042" w:left="2612" w:hangingChars="100" w:hanging="320"/>
        <w:rPr>
          <w:rFonts w:ascii="宋体" w:eastAsia="宋体" w:hAnsi="宋体"/>
          <w:color w:val="000000" w:themeColor="text1"/>
          <w:sz w:val="32"/>
          <w:szCs w:val="32"/>
          <w:u w:val="single"/>
        </w:rPr>
      </w:pPr>
      <w:r w:rsidRPr="0074378B">
        <w:rPr>
          <w:rFonts w:ascii="宋体" w:eastAsia="宋体" w:hAnsi="宋体" w:hint="eastAsia"/>
          <w:color w:val="000000" w:themeColor="text1"/>
          <w:sz w:val="32"/>
          <w:szCs w:val="32"/>
          <w:u w:val="single"/>
        </w:rPr>
        <w:t>及应用技术报告</w:t>
      </w:r>
      <w:r w:rsidR="009D14A5" w:rsidRPr="00BD70AA">
        <w:rPr>
          <w:rFonts w:ascii="宋体" w:eastAsia="宋体" w:hAnsi="宋体" w:hint="eastAsia"/>
          <w:color w:val="000000" w:themeColor="text1"/>
          <w:sz w:val="32"/>
          <w:szCs w:val="32"/>
          <w:u w:val="single"/>
        </w:rPr>
        <w:t xml:space="preserve">        </w:t>
      </w:r>
      <w:r w:rsidR="00F84C39">
        <w:rPr>
          <w:rFonts w:ascii="宋体" w:eastAsia="宋体" w:hAnsi="宋体" w:hint="eastAsia"/>
          <w:color w:val="000000" w:themeColor="text1"/>
          <w:sz w:val="32"/>
          <w:szCs w:val="32"/>
          <w:u w:val="single"/>
        </w:rPr>
        <w:t xml:space="preserve">                  </w:t>
      </w:r>
    </w:p>
    <w:p w:rsidR="00F84C39" w:rsidRPr="00F84C39" w:rsidRDefault="00F84C39" w:rsidP="009D14A5">
      <w:pPr>
        <w:spacing w:line="360" w:lineRule="auto"/>
        <w:ind w:leftChars="312" w:left="2606" w:hangingChars="600" w:hanging="1920"/>
        <w:rPr>
          <w:rFonts w:ascii="宋体" w:eastAsia="宋体" w:hAnsi="宋体"/>
          <w:color w:val="000000" w:themeColor="text1"/>
          <w:sz w:val="32"/>
          <w:szCs w:val="32"/>
          <w:u w:val="single"/>
        </w:rPr>
      </w:pPr>
      <w:r w:rsidRPr="00F84C39">
        <w:rPr>
          <w:rFonts w:ascii="宋体" w:eastAsia="宋体" w:hAnsi="宋体" w:hint="eastAsia"/>
          <w:color w:val="000000" w:themeColor="text1"/>
          <w:sz w:val="32"/>
          <w:szCs w:val="32"/>
        </w:rPr>
        <w:t>报告类型</w:t>
      </w:r>
      <w:r>
        <w:rPr>
          <w:rFonts w:ascii="宋体" w:eastAsia="宋体" w:hAnsi="宋体" w:hint="eastAsia"/>
          <w:color w:val="000000" w:themeColor="text1"/>
          <w:sz w:val="32"/>
          <w:szCs w:val="32"/>
        </w:rPr>
        <w:t>：</w:t>
      </w:r>
      <w:r w:rsidRPr="00F84C39">
        <w:rPr>
          <w:rFonts w:ascii="宋体" w:eastAsia="宋体" w:hAnsi="宋体" w:hint="eastAsia"/>
          <w:color w:val="000000" w:themeColor="text1"/>
          <w:sz w:val="32"/>
          <w:szCs w:val="32"/>
          <w:u w:val="single"/>
        </w:rPr>
        <w:t>最终报告</w:t>
      </w:r>
      <w:r>
        <w:rPr>
          <w:rFonts w:ascii="宋体" w:eastAsia="宋体" w:hAnsi="宋体" w:hint="eastAsia"/>
          <w:color w:val="000000" w:themeColor="text1"/>
          <w:sz w:val="32"/>
          <w:szCs w:val="32"/>
          <w:u w:val="single"/>
        </w:rPr>
        <w:t xml:space="preserve">                              </w:t>
      </w:r>
    </w:p>
    <w:p w:rsidR="009D14A5" w:rsidRPr="00BD70AA" w:rsidRDefault="009D14A5" w:rsidP="009D14A5">
      <w:pPr>
        <w:spacing w:line="360" w:lineRule="auto"/>
        <w:ind w:firstLineChars="196" w:firstLine="627"/>
        <w:rPr>
          <w:rFonts w:ascii="宋体" w:eastAsia="宋体" w:hAnsi="宋体"/>
          <w:color w:val="000000" w:themeColor="text1"/>
          <w:sz w:val="32"/>
          <w:szCs w:val="32"/>
          <w:u w:val="single"/>
        </w:rPr>
      </w:pPr>
      <w:r w:rsidRPr="00BD70AA">
        <w:rPr>
          <w:rFonts w:ascii="宋体" w:eastAsia="宋体" w:hAnsi="宋体" w:hint="eastAsia"/>
          <w:color w:val="000000" w:themeColor="text1"/>
          <w:sz w:val="32"/>
          <w:szCs w:val="32"/>
        </w:rPr>
        <w:t>支持渠道：</w:t>
      </w:r>
      <w:r w:rsidR="0074378B" w:rsidRPr="0074378B">
        <w:rPr>
          <w:rFonts w:ascii="宋体" w:eastAsia="宋体" w:hAnsi="宋体" w:hint="eastAsia"/>
          <w:color w:val="000000" w:themeColor="text1"/>
          <w:sz w:val="32"/>
          <w:szCs w:val="32"/>
          <w:u w:val="single"/>
        </w:rPr>
        <w:t>广西青年</w:t>
      </w:r>
      <w:r w:rsidR="00F84C39" w:rsidRPr="0074378B">
        <w:rPr>
          <w:rFonts w:ascii="宋体" w:eastAsia="宋体" w:hAnsi="宋体" w:hint="eastAsia"/>
          <w:color w:val="000000" w:themeColor="text1"/>
          <w:sz w:val="32"/>
          <w:szCs w:val="32"/>
          <w:u w:val="single"/>
        </w:rPr>
        <w:t>科学</w:t>
      </w:r>
      <w:r w:rsidR="0074378B" w:rsidRPr="0074378B">
        <w:rPr>
          <w:rFonts w:ascii="宋体" w:eastAsia="宋体" w:hAnsi="宋体" w:hint="eastAsia"/>
          <w:color w:val="000000" w:themeColor="text1"/>
          <w:sz w:val="32"/>
          <w:szCs w:val="32"/>
          <w:u w:val="single"/>
        </w:rPr>
        <w:t>基金</w:t>
      </w:r>
      <w:r w:rsidRPr="00BD70AA">
        <w:rPr>
          <w:rFonts w:ascii="宋体" w:eastAsia="宋体" w:hAnsi="宋体" w:hint="eastAsia"/>
          <w:color w:val="000000" w:themeColor="text1"/>
          <w:sz w:val="32"/>
          <w:szCs w:val="32"/>
          <w:u w:val="single"/>
        </w:rPr>
        <w:t xml:space="preserve">                      </w:t>
      </w:r>
    </w:p>
    <w:p w:rsidR="009D14A5" w:rsidRPr="00BD70AA" w:rsidRDefault="009D14A5" w:rsidP="009D14A5">
      <w:pPr>
        <w:spacing w:line="360" w:lineRule="auto"/>
        <w:ind w:leftChars="285" w:left="2227" w:hangingChars="500" w:hanging="1600"/>
        <w:rPr>
          <w:rFonts w:ascii="宋体" w:eastAsia="宋体" w:hAnsi="宋体"/>
          <w:color w:val="000000" w:themeColor="text1"/>
          <w:sz w:val="32"/>
          <w:szCs w:val="32"/>
        </w:rPr>
      </w:pPr>
      <w:r w:rsidRPr="00BD70AA">
        <w:rPr>
          <w:rFonts w:ascii="宋体" w:eastAsia="宋体" w:hAnsi="宋体" w:hint="eastAsia"/>
          <w:color w:val="000000" w:themeColor="text1"/>
          <w:sz w:val="32"/>
          <w:szCs w:val="32"/>
        </w:rPr>
        <w:t>编制单位：</w:t>
      </w:r>
      <w:r w:rsidR="0074378B" w:rsidRPr="0074378B">
        <w:rPr>
          <w:rFonts w:ascii="宋体" w:eastAsia="宋体" w:hAnsi="宋体" w:hint="eastAsia"/>
          <w:color w:val="000000" w:themeColor="text1"/>
          <w:sz w:val="32"/>
          <w:szCs w:val="32"/>
          <w:u w:val="single"/>
        </w:rPr>
        <w:t>广西动物疫病预防控制中心</w:t>
      </w:r>
      <w:r w:rsidR="0074378B">
        <w:rPr>
          <w:rFonts w:ascii="宋体" w:eastAsia="宋体" w:hAnsi="宋体" w:hint="eastAsia"/>
          <w:color w:val="000000" w:themeColor="text1"/>
          <w:sz w:val="32"/>
          <w:szCs w:val="32"/>
          <w:u w:val="single"/>
        </w:rPr>
        <w:t xml:space="preserve">              </w:t>
      </w:r>
    </w:p>
    <w:p w:rsidR="009D14A5" w:rsidRPr="00BD70AA" w:rsidRDefault="009D14A5" w:rsidP="009D14A5">
      <w:pPr>
        <w:spacing w:line="360" w:lineRule="auto"/>
        <w:ind w:firstLineChars="196" w:firstLine="627"/>
        <w:rPr>
          <w:rFonts w:ascii="宋体" w:eastAsia="宋体" w:hAnsi="宋体"/>
          <w:color w:val="000000" w:themeColor="text1"/>
          <w:sz w:val="32"/>
          <w:szCs w:val="32"/>
        </w:rPr>
      </w:pPr>
      <w:r w:rsidRPr="00BD70AA">
        <w:rPr>
          <w:rFonts w:ascii="宋体" w:eastAsia="宋体" w:hAnsi="宋体" w:hint="eastAsia"/>
          <w:color w:val="000000" w:themeColor="text1"/>
          <w:sz w:val="32"/>
          <w:szCs w:val="32"/>
        </w:rPr>
        <w:t>编制时间：</w:t>
      </w:r>
      <w:r w:rsidRPr="00BD70AA">
        <w:rPr>
          <w:rFonts w:ascii="宋体" w:eastAsia="宋体" w:hAnsi="宋体"/>
          <w:color w:val="000000" w:themeColor="text1"/>
          <w:sz w:val="32"/>
          <w:szCs w:val="32"/>
          <w:u w:val="single"/>
        </w:rPr>
        <w:t>2014-</w:t>
      </w:r>
      <w:r w:rsidRPr="00BD70AA">
        <w:rPr>
          <w:rFonts w:ascii="宋体" w:eastAsia="宋体" w:hAnsi="宋体" w:hint="eastAsia"/>
          <w:color w:val="000000" w:themeColor="text1"/>
          <w:sz w:val="32"/>
          <w:szCs w:val="32"/>
          <w:u w:val="single"/>
        </w:rPr>
        <w:t>1</w:t>
      </w:r>
      <w:r>
        <w:rPr>
          <w:rFonts w:ascii="宋体" w:eastAsia="宋体" w:hAnsi="宋体" w:hint="eastAsia"/>
          <w:color w:val="000000" w:themeColor="text1"/>
          <w:sz w:val="32"/>
          <w:szCs w:val="32"/>
          <w:u w:val="single"/>
        </w:rPr>
        <w:t>2</w:t>
      </w:r>
      <w:r w:rsidRPr="00BD70AA">
        <w:rPr>
          <w:rFonts w:ascii="宋体" w:eastAsia="宋体" w:hAnsi="宋体"/>
          <w:color w:val="000000" w:themeColor="text1"/>
          <w:sz w:val="32"/>
          <w:szCs w:val="32"/>
          <w:u w:val="single"/>
        </w:rPr>
        <w:t>-</w:t>
      </w:r>
      <w:r>
        <w:rPr>
          <w:rFonts w:ascii="宋体" w:eastAsia="宋体" w:hAnsi="宋体" w:hint="eastAsia"/>
          <w:color w:val="000000" w:themeColor="text1"/>
          <w:sz w:val="32"/>
          <w:szCs w:val="32"/>
          <w:u w:val="single"/>
        </w:rPr>
        <w:t>05</w:t>
      </w:r>
      <w:r w:rsidRPr="00BD70AA">
        <w:rPr>
          <w:rFonts w:ascii="宋体" w:eastAsia="宋体" w:hAnsi="宋体" w:hint="eastAsia"/>
          <w:color w:val="000000" w:themeColor="text1"/>
          <w:sz w:val="32"/>
          <w:szCs w:val="32"/>
          <w:u w:val="single"/>
        </w:rPr>
        <w:t xml:space="preserve">_                           </w:t>
      </w:r>
    </w:p>
    <w:p w:rsidR="009D14A5" w:rsidRPr="00BD70AA" w:rsidRDefault="009D14A5" w:rsidP="009D14A5">
      <w:pPr>
        <w:spacing w:line="360" w:lineRule="auto"/>
        <w:ind w:firstLine="420"/>
        <w:rPr>
          <w:rFonts w:ascii="宋体" w:hAnsi="宋体"/>
          <w:color w:val="000000" w:themeColor="text1"/>
          <w:sz w:val="28"/>
          <w:szCs w:val="28"/>
        </w:rPr>
      </w:pPr>
    </w:p>
    <w:p w:rsidR="009D14A5" w:rsidRPr="00BD70AA" w:rsidRDefault="009D14A5" w:rsidP="009D14A5">
      <w:pPr>
        <w:spacing w:line="360" w:lineRule="auto"/>
        <w:ind w:firstLine="420"/>
        <w:rPr>
          <w:rFonts w:ascii="宋体" w:hAnsi="宋体"/>
          <w:color w:val="000000" w:themeColor="text1"/>
          <w:sz w:val="28"/>
          <w:szCs w:val="28"/>
        </w:rPr>
      </w:pPr>
    </w:p>
    <w:p w:rsidR="009D14A5" w:rsidRPr="00BD70AA" w:rsidRDefault="009D14A5" w:rsidP="009D14A5">
      <w:pPr>
        <w:spacing w:line="360" w:lineRule="auto"/>
        <w:ind w:firstLine="420"/>
        <w:rPr>
          <w:rFonts w:ascii="宋体" w:hAnsi="宋体"/>
          <w:color w:val="000000" w:themeColor="text1"/>
          <w:sz w:val="28"/>
          <w:szCs w:val="28"/>
        </w:rPr>
      </w:pPr>
    </w:p>
    <w:p w:rsidR="009D14A5" w:rsidRPr="00BD70AA" w:rsidRDefault="009D14A5" w:rsidP="009D14A5">
      <w:pPr>
        <w:spacing w:line="360" w:lineRule="auto"/>
        <w:ind w:firstLine="420"/>
        <w:jc w:val="center"/>
        <w:rPr>
          <w:rFonts w:ascii="宋体" w:hAnsi="宋体"/>
          <w:color w:val="000000" w:themeColor="text1"/>
          <w:sz w:val="32"/>
          <w:szCs w:val="32"/>
        </w:rPr>
        <w:sectPr w:rsidR="009D14A5" w:rsidRPr="00BD70AA">
          <w:footerReference w:type="even" r:id="rId8"/>
          <w:footerReference w:type="default" r:id="rId9"/>
          <w:pgSz w:w="11906" w:h="16838"/>
          <w:pgMar w:top="1440" w:right="1800" w:bottom="1440" w:left="1800" w:header="851" w:footer="992" w:gutter="0"/>
          <w:pgNumType w:start="1"/>
          <w:cols w:space="720"/>
          <w:titlePg/>
          <w:docGrid w:type="lines" w:linePitch="312"/>
        </w:sectPr>
      </w:pPr>
    </w:p>
    <w:p w:rsidR="009D14A5" w:rsidRPr="00BD70AA" w:rsidRDefault="009D14A5" w:rsidP="009D14A5">
      <w:pPr>
        <w:spacing w:line="360" w:lineRule="auto"/>
        <w:jc w:val="center"/>
        <w:rPr>
          <w:rFonts w:asciiTheme="minorEastAsia" w:eastAsiaTheme="minorEastAsia" w:hAnsiTheme="minorEastAsia"/>
          <w:b/>
          <w:color w:val="000000" w:themeColor="text1"/>
          <w:sz w:val="20"/>
        </w:rPr>
      </w:pPr>
      <w:r w:rsidRPr="00BD70AA">
        <w:rPr>
          <w:rFonts w:asciiTheme="minorEastAsia" w:eastAsiaTheme="minorEastAsia" w:hAnsiTheme="minorEastAsia" w:hint="eastAsia"/>
          <w:b/>
          <w:color w:val="000000" w:themeColor="text1"/>
          <w:sz w:val="20"/>
        </w:rPr>
        <w:lastRenderedPageBreak/>
        <w:t>科技报告基本信息表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101"/>
        <w:gridCol w:w="708"/>
        <w:gridCol w:w="1672"/>
        <w:gridCol w:w="765"/>
        <w:gridCol w:w="570"/>
        <w:gridCol w:w="395"/>
        <w:gridCol w:w="460"/>
        <w:gridCol w:w="1365"/>
        <w:gridCol w:w="1486"/>
      </w:tblGrid>
      <w:tr w:rsidR="009D14A5" w:rsidRPr="00BD70AA" w:rsidTr="00B03D18">
        <w:trPr>
          <w:trHeight w:val="170"/>
        </w:trPr>
        <w:tc>
          <w:tcPr>
            <w:tcW w:w="8522" w:type="dxa"/>
            <w:gridSpan w:val="9"/>
          </w:tcPr>
          <w:p w:rsidR="009D14A5" w:rsidRPr="00BD70AA" w:rsidRDefault="009D14A5" w:rsidP="00B03D18">
            <w:pPr>
              <w:spacing w:line="360" w:lineRule="auto"/>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 xml:space="preserve">1. </w:t>
            </w:r>
            <w:r w:rsidRPr="00454C0B">
              <w:rPr>
                <w:rFonts w:ascii="黑体" w:eastAsia="黑体" w:hAnsiTheme="minorEastAsia" w:hint="eastAsia"/>
                <w:color w:val="000000" w:themeColor="text1"/>
                <w:sz w:val="20"/>
              </w:rPr>
              <w:t>报告名称：</w:t>
            </w:r>
            <w:r w:rsidR="0074378B" w:rsidRPr="005B4D1E">
              <w:rPr>
                <w:rFonts w:asciiTheme="minorEastAsia" w:eastAsiaTheme="minorEastAsia" w:hAnsiTheme="minorEastAsia" w:hint="eastAsia"/>
                <w:color w:val="000000" w:themeColor="text1"/>
                <w:sz w:val="20"/>
              </w:rPr>
              <w:t>高致病性猪蓝耳病防控关键技术的研究及应用</w:t>
            </w:r>
            <w:r w:rsidRPr="00454C0B">
              <w:rPr>
                <w:rFonts w:asciiTheme="minorEastAsia" w:eastAsiaTheme="minorEastAsia" w:hAnsiTheme="minorEastAsia" w:hint="eastAsia"/>
                <w:color w:val="000000" w:themeColor="text1"/>
                <w:sz w:val="20"/>
              </w:rPr>
              <w:t>技术报告</w:t>
            </w:r>
          </w:p>
        </w:tc>
      </w:tr>
      <w:tr w:rsidR="009D14A5" w:rsidRPr="00BD70AA" w:rsidTr="00B03D18">
        <w:trPr>
          <w:trHeight w:val="717"/>
        </w:trPr>
        <w:tc>
          <w:tcPr>
            <w:tcW w:w="8522" w:type="dxa"/>
            <w:gridSpan w:val="9"/>
          </w:tcPr>
          <w:p w:rsidR="009D14A5" w:rsidRPr="00BD70AA" w:rsidRDefault="009D14A5" w:rsidP="00596EC7">
            <w:pPr>
              <w:spacing w:line="360" w:lineRule="auto"/>
              <w:rPr>
                <w:color w:val="000000" w:themeColor="text1"/>
                <w:sz w:val="24"/>
              </w:rPr>
            </w:pPr>
            <w:r w:rsidRPr="00BD70AA">
              <w:rPr>
                <w:rFonts w:asciiTheme="minorEastAsia" w:eastAsiaTheme="minorEastAsia" w:hAnsiTheme="minorEastAsia" w:hint="eastAsia"/>
                <w:color w:val="000000" w:themeColor="text1"/>
                <w:sz w:val="20"/>
              </w:rPr>
              <w:t>2. 作者及作者单位：</w:t>
            </w:r>
            <w:r w:rsidR="00596EC7">
              <w:rPr>
                <w:rFonts w:asciiTheme="minorEastAsia" w:eastAsiaTheme="minorEastAsia" w:hAnsiTheme="minorEastAsia" w:hint="eastAsia"/>
                <w:color w:val="000000" w:themeColor="text1"/>
                <w:sz w:val="20"/>
              </w:rPr>
              <w:t>施开创，广西动物疫病预防控制中心；莫胜兰，广西动物疫病预防控制中心</w:t>
            </w:r>
            <w:r w:rsidR="0074378B">
              <w:rPr>
                <w:rFonts w:asciiTheme="minorEastAsia" w:eastAsiaTheme="minorEastAsia" w:hAnsiTheme="minorEastAsia" w:hint="eastAsia"/>
                <w:color w:val="000000" w:themeColor="text1"/>
                <w:sz w:val="20"/>
              </w:rPr>
              <w:t>；郑敏，广西动物疫病预防控制中心；李刚，中国农科院北京畜牧兽医研究所；甘海霞，广西动物疫病预防控制中心</w:t>
            </w:r>
          </w:p>
        </w:tc>
      </w:tr>
      <w:tr w:rsidR="009D14A5" w:rsidRPr="00BD70AA" w:rsidTr="00B03D18">
        <w:trPr>
          <w:trHeight w:val="643"/>
        </w:trPr>
        <w:tc>
          <w:tcPr>
            <w:tcW w:w="4816" w:type="dxa"/>
            <w:gridSpan w:val="5"/>
          </w:tcPr>
          <w:p w:rsidR="009D14A5" w:rsidRPr="00BD70AA" w:rsidRDefault="009D14A5" w:rsidP="00B03D18">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3. 公开范围（分为公开和延期公开，延期公开需明确延期时间）公开</w:t>
            </w:r>
          </w:p>
        </w:tc>
        <w:tc>
          <w:tcPr>
            <w:tcW w:w="3706" w:type="dxa"/>
            <w:gridSpan w:val="4"/>
          </w:tcPr>
          <w:p w:rsidR="009D14A5" w:rsidRPr="00BD70AA" w:rsidRDefault="009D14A5" w:rsidP="00B03D18">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 xml:space="preserve">4. </w:t>
            </w:r>
            <w:r w:rsidRPr="00BD70AA">
              <w:rPr>
                <w:rFonts w:asciiTheme="minorEastAsia" w:eastAsiaTheme="minorEastAsia" w:hAnsiTheme="minorEastAsia"/>
                <w:color w:val="000000" w:themeColor="text1"/>
                <w:sz w:val="20"/>
              </w:rPr>
              <w:t>2014-</w:t>
            </w:r>
            <w:r w:rsidRPr="00BD70AA">
              <w:rPr>
                <w:rFonts w:asciiTheme="minorEastAsia" w:eastAsiaTheme="minorEastAsia" w:hAnsiTheme="minorEastAsia" w:hint="eastAsia"/>
                <w:color w:val="000000" w:themeColor="text1"/>
                <w:sz w:val="20"/>
              </w:rPr>
              <w:t>1</w:t>
            </w:r>
            <w:r>
              <w:rPr>
                <w:rFonts w:asciiTheme="minorEastAsia" w:eastAsiaTheme="minorEastAsia" w:hAnsiTheme="minorEastAsia" w:hint="eastAsia"/>
                <w:color w:val="000000" w:themeColor="text1"/>
                <w:sz w:val="20"/>
              </w:rPr>
              <w:t>2</w:t>
            </w:r>
            <w:r w:rsidRPr="00BD70AA">
              <w:rPr>
                <w:rFonts w:asciiTheme="minorEastAsia" w:eastAsiaTheme="minorEastAsia" w:hAnsiTheme="minorEastAsia"/>
                <w:color w:val="000000" w:themeColor="text1"/>
                <w:sz w:val="20"/>
              </w:rPr>
              <w:t>-</w:t>
            </w:r>
            <w:r>
              <w:rPr>
                <w:rFonts w:asciiTheme="minorEastAsia" w:eastAsiaTheme="minorEastAsia" w:hAnsiTheme="minorEastAsia" w:hint="eastAsia"/>
                <w:color w:val="000000" w:themeColor="text1"/>
                <w:sz w:val="20"/>
              </w:rPr>
              <w:t>05</w:t>
            </w:r>
          </w:p>
        </w:tc>
      </w:tr>
      <w:tr w:rsidR="009D14A5" w:rsidRPr="00BD70AA" w:rsidTr="00B03D18">
        <w:trPr>
          <w:trHeight w:val="780"/>
        </w:trPr>
        <w:tc>
          <w:tcPr>
            <w:tcW w:w="8522" w:type="dxa"/>
            <w:gridSpan w:val="9"/>
          </w:tcPr>
          <w:p w:rsidR="009D14A5" w:rsidRPr="00BD70AA" w:rsidRDefault="009D14A5" w:rsidP="00B03D18">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5. 报告编号（单位机构代码+项目编号+/顺序号，XXXXXXXXX -- NNNNUUNNNNNN/NN）</w:t>
            </w:r>
          </w:p>
          <w:p w:rsidR="009D14A5" w:rsidRPr="00BD70AA" w:rsidRDefault="00596EC7" w:rsidP="00B03D18">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664813901</w:t>
            </w:r>
            <w:r w:rsidR="009D14A5" w:rsidRPr="00BD70AA">
              <w:rPr>
                <w:rFonts w:asciiTheme="minorEastAsia" w:eastAsiaTheme="minorEastAsia" w:hAnsiTheme="minorEastAsia" w:hint="eastAsia"/>
                <w:color w:val="000000" w:themeColor="text1"/>
                <w:sz w:val="20"/>
              </w:rPr>
              <w:t>--</w:t>
            </w:r>
            <w:r w:rsidRPr="00CF3DC8">
              <w:rPr>
                <w:rFonts w:asciiTheme="minorEastAsia" w:eastAsiaTheme="minorEastAsia" w:hAnsiTheme="minorEastAsia" w:hint="eastAsia"/>
                <w:color w:val="000000" w:themeColor="text1"/>
                <w:sz w:val="20"/>
              </w:rPr>
              <w:t>桂科</w:t>
            </w:r>
            <w:r>
              <w:rPr>
                <w:rFonts w:asciiTheme="minorEastAsia" w:eastAsiaTheme="minorEastAsia" w:hAnsiTheme="minorEastAsia" w:hint="eastAsia"/>
                <w:color w:val="000000" w:themeColor="text1"/>
                <w:sz w:val="20"/>
              </w:rPr>
              <w:t>青0832057</w:t>
            </w:r>
            <w:r w:rsidR="009D14A5" w:rsidRPr="00BD70AA">
              <w:rPr>
                <w:rFonts w:asciiTheme="minorEastAsia" w:eastAsiaTheme="minorEastAsia" w:hAnsiTheme="minorEastAsia" w:hint="eastAsia"/>
                <w:color w:val="000000" w:themeColor="text1"/>
                <w:sz w:val="20"/>
              </w:rPr>
              <w:t>/01</w:t>
            </w:r>
          </w:p>
        </w:tc>
      </w:tr>
      <w:tr w:rsidR="009D14A5" w:rsidRPr="00BD70AA" w:rsidTr="00B03D18">
        <w:trPr>
          <w:trHeight w:val="768"/>
        </w:trPr>
        <w:tc>
          <w:tcPr>
            <w:tcW w:w="8522" w:type="dxa"/>
            <w:gridSpan w:val="9"/>
          </w:tcPr>
          <w:p w:rsidR="009D14A5" w:rsidRPr="00BD70AA" w:rsidRDefault="009D14A5" w:rsidP="00B03D18">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6. 备注（需要注明的一些特殊事项，如延期公开报告的查询权限、免责声明、报告与其他工作或成果的联系等）</w:t>
            </w:r>
          </w:p>
        </w:tc>
      </w:tr>
      <w:tr w:rsidR="009D14A5" w:rsidRPr="00BD70AA" w:rsidTr="00B03D18">
        <w:trPr>
          <w:trHeight w:val="2107"/>
        </w:trPr>
        <w:tc>
          <w:tcPr>
            <w:tcW w:w="8522" w:type="dxa"/>
            <w:gridSpan w:val="9"/>
          </w:tcPr>
          <w:p w:rsidR="009D14A5" w:rsidRPr="00BD70AA" w:rsidRDefault="009D14A5" w:rsidP="00B03D18">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 xml:space="preserve">7. </w:t>
            </w:r>
            <w:r w:rsidRPr="00BD70AA">
              <w:rPr>
                <w:rFonts w:asciiTheme="minorEastAsia" w:eastAsiaTheme="minorEastAsia" w:hAnsiTheme="minorEastAsia"/>
                <w:color w:val="000000" w:themeColor="text1"/>
                <w:sz w:val="20"/>
              </w:rPr>
              <w:t>摘要（1000字以内）</w:t>
            </w:r>
          </w:p>
          <w:p w:rsidR="009D14A5" w:rsidRPr="00732054" w:rsidRDefault="00AF5B64" w:rsidP="00B03D18">
            <w:pPr>
              <w:spacing w:line="360" w:lineRule="auto"/>
              <w:ind w:firstLine="465"/>
              <w:rPr>
                <w:rFonts w:ascii="宋体" w:eastAsia="宋体" w:hAnsi="宋体" w:cs="宋体"/>
                <w:sz w:val="24"/>
                <w:szCs w:val="24"/>
              </w:rPr>
            </w:pPr>
            <w:r w:rsidRPr="00AF5B64">
              <w:rPr>
                <w:rFonts w:asciiTheme="minorEastAsia" w:eastAsiaTheme="minorEastAsia" w:hAnsiTheme="minorEastAsia" w:hint="eastAsia"/>
                <w:color w:val="000000" w:themeColor="text1"/>
                <w:sz w:val="20"/>
              </w:rPr>
              <w:t>通过开展本研究，建立能正确区分PRRSV美洲型经典毒株、变异毒株及欧洲型毒株的快速鉴别检测方法，明确广西PRRSV流行毒株的基因型和主要基因亚群及其遗传变异规律，分离鉴定HP-PRRSV广西地方株并对其基因组分子特征进行分析，探索PRRSV感染对宿主免疫反应的影响，评估PRRSV灭活疫苗及弱毒疫苗的免疫效果，开展防控关键技术培训及指导。</w:t>
            </w:r>
          </w:p>
        </w:tc>
      </w:tr>
      <w:tr w:rsidR="009D14A5" w:rsidRPr="00BD70AA" w:rsidTr="00B03D18">
        <w:trPr>
          <w:trHeight w:val="170"/>
        </w:trPr>
        <w:tc>
          <w:tcPr>
            <w:tcW w:w="8522" w:type="dxa"/>
            <w:gridSpan w:val="9"/>
          </w:tcPr>
          <w:p w:rsidR="009D14A5" w:rsidRPr="00BD70AA" w:rsidRDefault="009D14A5" w:rsidP="00C528C1">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8.关键词</w:t>
            </w:r>
            <w:r w:rsidRPr="00BD70AA">
              <w:rPr>
                <w:rFonts w:asciiTheme="minorEastAsia" w:eastAsiaTheme="minorEastAsia" w:hAnsiTheme="minorEastAsia"/>
                <w:color w:val="000000" w:themeColor="text1"/>
                <w:sz w:val="20"/>
              </w:rPr>
              <w:t>（3-8个）</w:t>
            </w:r>
            <w:r w:rsidRPr="00BD70AA">
              <w:rPr>
                <w:rFonts w:asciiTheme="minorEastAsia" w:eastAsiaTheme="minorEastAsia" w:hAnsiTheme="minorEastAsia" w:hint="eastAsia"/>
                <w:color w:val="000000" w:themeColor="text1"/>
                <w:sz w:val="20"/>
              </w:rPr>
              <w:t>：</w:t>
            </w:r>
            <w:r w:rsidR="00AF5B64" w:rsidRPr="00AF5B64">
              <w:rPr>
                <w:rFonts w:asciiTheme="minorEastAsia" w:eastAsiaTheme="minorEastAsia" w:hAnsiTheme="minorEastAsia" w:hint="eastAsia"/>
                <w:color w:val="000000" w:themeColor="text1"/>
                <w:sz w:val="20"/>
              </w:rPr>
              <w:t>PRRSV流行毒株</w:t>
            </w:r>
            <w:r w:rsidRPr="00AF5B64">
              <w:rPr>
                <w:rFonts w:asciiTheme="minorEastAsia" w:eastAsiaTheme="minorEastAsia" w:hAnsiTheme="minorEastAsia" w:hint="eastAsia"/>
                <w:color w:val="000000" w:themeColor="text1"/>
                <w:sz w:val="20"/>
              </w:rPr>
              <w:t>；</w:t>
            </w:r>
            <w:r w:rsidR="00AF5B64" w:rsidRPr="00AF5B64">
              <w:rPr>
                <w:rFonts w:asciiTheme="minorEastAsia" w:eastAsiaTheme="minorEastAsia" w:hAnsiTheme="minorEastAsia" w:hint="eastAsia"/>
                <w:color w:val="000000" w:themeColor="text1"/>
                <w:sz w:val="20"/>
              </w:rPr>
              <w:t>HP-PRRS</w:t>
            </w:r>
            <w:r w:rsidR="00C528C1">
              <w:rPr>
                <w:rFonts w:asciiTheme="minorEastAsia" w:eastAsiaTheme="minorEastAsia" w:hAnsiTheme="minorEastAsia" w:hint="eastAsia"/>
                <w:color w:val="000000" w:themeColor="text1"/>
                <w:sz w:val="20"/>
              </w:rPr>
              <w:t>；</w:t>
            </w:r>
            <w:r w:rsidR="00AF5B64" w:rsidRPr="00AF5B64">
              <w:rPr>
                <w:rFonts w:asciiTheme="minorEastAsia" w:eastAsiaTheme="minorEastAsia" w:hAnsiTheme="minorEastAsia" w:hint="eastAsia"/>
                <w:color w:val="000000" w:themeColor="text1"/>
                <w:sz w:val="20"/>
              </w:rPr>
              <w:t>防控</w:t>
            </w:r>
            <w:r w:rsidRPr="00AF5B64">
              <w:rPr>
                <w:rFonts w:asciiTheme="minorEastAsia" w:eastAsiaTheme="minorEastAsia" w:hAnsiTheme="minorEastAsia" w:hint="eastAsia"/>
                <w:color w:val="000000" w:themeColor="text1"/>
                <w:sz w:val="20"/>
              </w:rPr>
              <w:t>；</w:t>
            </w:r>
            <w:r w:rsidR="00AF5B64" w:rsidRPr="00AF5B64">
              <w:rPr>
                <w:rFonts w:asciiTheme="minorEastAsia" w:eastAsiaTheme="minorEastAsia" w:hAnsiTheme="minorEastAsia" w:hint="eastAsia"/>
                <w:color w:val="000000" w:themeColor="text1"/>
                <w:sz w:val="20"/>
              </w:rPr>
              <w:t>鉴别</w:t>
            </w:r>
            <w:r w:rsidR="00C528C1">
              <w:rPr>
                <w:rFonts w:asciiTheme="minorEastAsia" w:eastAsiaTheme="minorEastAsia" w:hAnsiTheme="minorEastAsia" w:hint="eastAsia"/>
                <w:color w:val="000000" w:themeColor="text1"/>
                <w:sz w:val="20"/>
              </w:rPr>
              <w:t>；</w:t>
            </w:r>
            <w:r w:rsidR="00AF5B64" w:rsidRPr="00AF5B64">
              <w:rPr>
                <w:rFonts w:asciiTheme="minorEastAsia" w:eastAsiaTheme="minorEastAsia" w:hAnsiTheme="minorEastAsia" w:hint="eastAsia"/>
                <w:color w:val="000000" w:themeColor="text1"/>
                <w:sz w:val="20"/>
              </w:rPr>
              <w:t>检测</w:t>
            </w:r>
          </w:p>
        </w:tc>
      </w:tr>
      <w:tr w:rsidR="009D14A5" w:rsidRPr="00BD70AA" w:rsidTr="00B03D18">
        <w:trPr>
          <w:trHeight w:val="499"/>
        </w:trPr>
        <w:tc>
          <w:tcPr>
            <w:tcW w:w="1101" w:type="dxa"/>
            <w:vMerge w:val="restart"/>
          </w:tcPr>
          <w:p w:rsidR="009D14A5" w:rsidRPr="00BD70AA" w:rsidRDefault="009D14A5" w:rsidP="00B03D18">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9.</w:t>
            </w:r>
          </w:p>
          <w:p w:rsidR="009D14A5" w:rsidRPr="00BD70AA" w:rsidRDefault="009D14A5" w:rsidP="00B03D18">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项目信息</w:t>
            </w:r>
          </w:p>
        </w:tc>
        <w:tc>
          <w:tcPr>
            <w:tcW w:w="2380" w:type="dxa"/>
            <w:gridSpan w:val="2"/>
          </w:tcPr>
          <w:p w:rsidR="009D14A5" w:rsidRPr="00BD70AA" w:rsidRDefault="009D14A5" w:rsidP="00B03D18">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项目名称</w:t>
            </w:r>
          </w:p>
        </w:tc>
        <w:tc>
          <w:tcPr>
            <w:tcW w:w="5041" w:type="dxa"/>
            <w:gridSpan w:val="6"/>
          </w:tcPr>
          <w:p w:rsidR="009D14A5" w:rsidRPr="00B244CB" w:rsidRDefault="005B4D1E" w:rsidP="00B03D18">
            <w:pPr>
              <w:spacing w:line="240" w:lineRule="atLeast"/>
              <w:rPr>
                <w:rFonts w:asciiTheme="minorEastAsia" w:eastAsiaTheme="minorEastAsia" w:hAnsiTheme="minorEastAsia"/>
                <w:color w:val="000000" w:themeColor="text1"/>
                <w:sz w:val="20"/>
                <w:szCs w:val="20"/>
              </w:rPr>
            </w:pPr>
            <w:r w:rsidRPr="005B4D1E">
              <w:rPr>
                <w:rFonts w:asciiTheme="minorEastAsia" w:eastAsiaTheme="minorEastAsia" w:hAnsiTheme="minorEastAsia" w:hint="eastAsia"/>
                <w:color w:val="000000" w:themeColor="text1"/>
                <w:sz w:val="20"/>
              </w:rPr>
              <w:t>高致病性猪蓝耳病防控关键技术的研究及应用</w:t>
            </w:r>
          </w:p>
        </w:tc>
      </w:tr>
      <w:tr w:rsidR="009D14A5" w:rsidRPr="00BD70AA" w:rsidTr="00B03D18">
        <w:trPr>
          <w:trHeight w:val="126"/>
        </w:trPr>
        <w:tc>
          <w:tcPr>
            <w:tcW w:w="1101" w:type="dxa"/>
            <w:vMerge/>
          </w:tcPr>
          <w:p w:rsidR="009D14A5" w:rsidRPr="00BD70AA" w:rsidRDefault="009D14A5" w:rsidP="00B03D18">
            <w:pPr>
              <w:spacing w:line="240" w:lineRule="atLeast"/>
              <w:rPr>
                <w:rFonts w:asciiTheme="minorEastAsia" w:eastAsiaTheme="minorEastAsia" w:hAnsiTheme="minorEastAsia"/>
                <w:color w:val="000000" w:themeColor="text1"/>
                <w:sz w:val="20"/>
              </w:rPr>
            </w:pPr>
          </w:p>
        </w:tc>
        <w:tc>
          <w:tcPr>
            <w:tcW w:w="2380" w:type="dxa"/>
            <w:gridSpan w:val="2"/>
          </w:tcPr>
          <w:p w:rsidR="009D14A5" w:rsidRPr="00BD70AA" w:rsidRDefault="009D14A5" w:rsidP="00B03D18">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依托部门</w:t>
            </w:r>
          </w:p>
        </w:tc>
        <w:tc>
          <w:tcPr>
            <w:tcW w:w="1730" w:type="dxa"/>
            <w:gridSpan w:val="3"/>
          </w:tcPr>
          <w:p w:rsidR="009D14A5" w:rsidRPr="00BD70AA" w:rsidRDefault="009D14A5" w:rsidP="00B03D18">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广西科技厅</w:t>
            </w:r>
          </w:p>
        </w:tc>
        <w:tc>
          <w:tcPr>
            <w:tcW w:w="1825" w:type="dxa"/>
            <w:gridSpan w:val="2"/>
            <w:tcBorders>
              <w:bottom w:val="single" w:sz="4" w:space="0" w:color="000000"/>
            </w:tcBorders>
          </w:tcPr>
          <w:p w:rsidR="009D14A5" w:rsidRPr="00BD70AA" w:rsidRDefault="009D14A5" w:rsidP="00B03D18">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计划名称</w:t>
            </w:r>
          </w:p>
        </w:tc>
        <w:tc>
          <w:tcPr>
            <w:tcW w:w="1486" w:type="dxa"/>
          </w:tcPr>
          <w:p w:rsidR="009D14A5" w:rsidRPr="00BD70AA" w:rsidRDefault="00F84C39" w:rsidP="00596EC7">
            <w:pPr>
              <w:spacing w:line="240" w:lineRule="atLeast"/>
              <w:rPr>
                <w:rFonts w:asciiTheme="minorEastAsia" w:eastAsiaTheme="minorEastAsia" w:hAnsiTheme="minorEastAsia"/>
                <w:color w:val="000000" w:themeColor="text1"/>
                <w:sz w:val="20"/>
              </w:rPr>
            </w:pPr>
            <w:r w:rsidRPr="00F84C39">
              <w:rPr>
                <w:rFonts w:asciiTheme="minorEastAsia" w:eastAsiaTheme="minorEastAsia" w:hAnsiTheme="minorEastAsia" w:hint="eastAsia"/>
                <w:color w:val="000000" w:themeColor="text1"/>
                <w:sz w:val="20"/>
              </w:rPr>
              <w:t>广西青年科学基金</w:t>
            </w:r>
          </w:p>
        </w:tc>
      </w:tr>
      <w:tr w:rsidR="009D14A5" w:rsidRPr="00BD70AA" w:rsidTr="00B03D18">
        <w:trPr>
          <w:trHeight w:val="126"/>
        </w:trPr>
        <w:tc>
          <w:tcPr>
            <w:tcW w:w="1101" w:type="dxa"/>
            <w:vMerge/>
          </w:tcPr>
          <w:p w:rsidR="009D14A5" w:rsidRPr="00BD70AA" w:rsidRDefault="009D14A5" w:rsidP="00B03D18">
            <w:pPr>
              <w:spacing w:line="240" w:lineRule="atLeast"/>
              <w:rPr>
                <w:rFonts w:asciiTheme="minorEastAsia" w:eastAsiaTheme="minorEastAsia" w:hAnsiTheme="minorEastAsia"/>
                <w:color w:val="000000" w:themeColor="text1"/>
                <w:sz w:val="20"/>
              </w:rPr>
            </w:pPr>
          </w:p>
        </w:tc>
        <w:tc>
          <w:tcPr>
            <w:tcW w:w="2380" w:type="dxa"/>
            <w:gridSpan w:val="2"/>
          </w:tcPr>
          <w:p w:rsidR="009D14A5" w:rsidRPr="00BD70AA" w:rsidRDefault="009D14A5" w:rsidP="00B03D18">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项目编号</w:t>
            </w:r>
          </w:p>
        </w:tc>
        <w:tc>
          <w:tcPr>
            <w:tcW w:w="1730" w:type="dxa"/>
            <w:gridSpan w:val="3"/>
          </w:tcPr>
          <w:p w:rsidR="009D14A5" w:rsidRPr="00BD70AA" w:rsidRDefault="009D14A5" w:rsidP="00596EC7">
            <w:pPr>
              <w:spacing w:line="240" w:lineRule="atLeast"/>
              <w:rPr>
                <w:color w:val="000000" w:themeColor="text1"/>
              </w:rPr>
            </w:pPr>
            <w:r w:rsidRPr="00CF3DC8">
              <w:rPr>
                <w:rFonts w:asciiTheme="minorEastAsia" w:eastAsiaTheme="minorEastAsia" w:hAnsiTheme="minorEastAsia" w:hint="eastAsia"/>
                <w:color w:val="000000" w:themeColor="text1"/>
                <w:sz w:val="20"/>
              </w:rPr>
              <w:t>桂科</w:t>
            </w:r>
            <w:r w:rsidR="00596EC7">
              <w:rPr>
                <w:rFonts w:asciiTheme="minorEastAsia" w:eastAsiaTheme="minorEastAsia" w:hAnsiTheme="minorEastAsia" w:hint="eastAsia"/>
                <w:color w:val="000000" w:themeColor="text1"/>
                <w:sz w:val="20"/>
              </w:rPr>
              <w:t>青0832057</w:t>
            </w:r>
          </w:p>
        </w:tc>
        <w:tc>
          <w:tcPr>
            <w:tcW w:w="1825" w:type="dxa"/>
            <w:gridSpan w:val="2"/>
          </w:tcPr>
          <w:p w:rsidR="009D14A5" w:rsidRPr="00BD70AA" w:rsidRDefault="009D14A5" w:rsidP="00B03D18">
            <w:pPr>
              <w:spacing w:line="240" w:lineRule="atLeast"/>
              <w:jc w:val="center"/>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领域（重大科学研究计划不填）</w:t>
            </w:r>
          </w:p>
        </w:tc>
        <w:tc>
          <w:tcPr>
            <w:tcW w:w="1486" w:type="dxa"/>
          </w:tcPr>
          <w:p w:rsidR="009D14A5" w:rsidRPr="00BD70AA" w:rsidRDefault="009D14A5" w:rsidP="00B03D18">
            <w:pPr>
              <w:spacing w:line="240" w:lineRule="atLeast"/>
              <w:rPr>
                <w:rFonts w:asciiTheme="minorEastAsia" w:eastAsiaTheme="minorEastAsia" w:hAnsiTheme="minorEastAsia"/>
                <w:color w:val="000000" w:themeColor="text1"/>
                <w:sz w:val="20"/>
              </w:rPr>
            </w:pPr>
          </w:p>
        </w:tc>
      </w:tr>
      <w:tr w:rsidR="009D14A5" w:rsidRPr="00BD70AA" w:rsidTr="00B03D18">
        <w:trPr>
          <w:trHeight w:val="126"/>
        </w:trPr>
        <w:tc>
          <w:tcPr>
            <w:tcW w:w="1101" w:type="dxa"/>
            <w:vMerge/>
          </w:tcPr>
          <w:p w:rsidR="009D14A5" w:rsidRPr="00BD70AA" w:rsidRDefault="009D14A5" w:rsidP="00B03D18">
            <w:pPr>
              <w:spacing w:line="240" w:lineRule="atLeast"/>
              <w:rPr>
                <w:rFonts w:asciiTheme="minorEastAsia" w:eastAsiaTheme="minorEastAsia" w:hAnsiTheme="minorEastAsia"/>
                <w:color w:val="000000" w:themeColor="text1"/>
                <w:sz w:val="20"/>
              </w:rPr>
            </w:pPr>
          </w:p>
        </w:tc>
        <w:tc>
          <w:tcPr>
            <w:tcW w:w="2380" w:type="dxa"/>
            <w:gridSpan w:val="2"/>
          </w:tcPr>
          <w:p w:rsidR="009D14A5" w:rsidRPr="00BD70AA" w:rsidRDefault="009D14A5" w:rsidP="00B03D18">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第一承担单位</w:t>
            </w:r>
          </w:p>
        </w:tc>
        <w:tc>
          <w:tcPr>
            <w:tcW w:w="5041" w:type="dxa"/>
            <w:gridSpan w:val="6"/>
          </w:tcPr>
          <w:p w:rsidR="009D14A5" w:rsidRPr="00B244CB" w:rsidRDefault="00596EC7" w:rsidP="00B03D18">
            <w:pPr>
              <w:spacing w:line="240" w:lineRule="atLeast"/>
              <w:rPr>
                <w:rFonts w:asciiTheme="minorEastAsia" w:eastAsiaTheme="minorEastAsia" w:hAnsiTheme="minorEastAsia"/>
                <w:color w:val="000000" w:themeColor="text1"/>
                <w:sz w:val="20"/>
                <w:szCs w:val="20"/>
              </w:rPr>
            </w:pPr>
            <w:r>
              <w:rPr>
                <w:rFonts w:ascii="宋体" w:eastAsia="宋体" w:hAnsi="宋体" w:cs="宋体" w:hint="eastAsia"/>
                <w:sz w:val="20"/>
                <w:szCs w:val="20"/>
              </w:rPr>
              <w:t>广西壮族自治区动物疫病预防控制中心</w:t>
            </w:r>
          </w:p>
        </w:tc>
      </w:tr>
      <w:tr w:rsidR="009D14A5" w:rsidRPr="00BD70AA" w:rsidTr="00B03D18">
        <w:trPr>
          <w:trHeight w:val="117"/>
        </w:trPr>
        <w:tc>
          <w:tcPr>
            <w:tcW w:w="1101" w:type="dxa"/>
            <w:vMerge/>
          </w:tcPr>
          <w:p w:rsidR="009D14A5" w:rsidRPr="00BD70AA" w:rsidRDefault="009D14A5" w:rsidP="00B03D18">
            <w:pPr>
              <w:spacing w:line="240" w:lineRule="atLeast"/>
              <w:rPr>
                <w:rFonts w:asciiTheme="minorEastAsia" w:eastAsiaTheme="minorEastAsia" w:hAnsiTheme="minorEastAsia"/>
                <w:color w:val="000000" w:themeColor="text1"/>
                <w:sz w:val="20"/>
              </w:rPr>
            </w:pPr>
          </w:p>
        </w:tc>
        <w:tc>
          <w:tcPr>
            <w:tcW w:w="2380" w:type="dxa"/>
            <w:gridSpan w:val="2"/>
          </w:tcPr>
          <w:p w:rsidR="009D14A5" w:rsidRPr="00BD70AA" w:rsidRDefault="009D14A5" w:rsidP="00B03D18">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参加单位（不超过12家）</w:t>
            </w:r>
          </w:p>
        </w:tc>
        <w:tc>
          <w:tcPr>
            <w:tcW w:w="5041" w:type="dxa"/>
            <w:gridSpan w:val="6"/>
          </w:tcPr>
          <w:p w:rsidR="009D14A5" w:rsidRPr="00BD70AA" w:rsidRDefault="009D14A5" w:rsidP="00B03D18">
            <w:pPr>
              <w:spacing w:line="240" w:lineRule="atLeast"/>
              <w:rPr>
                <w:rFonts w:asciiTheme="minorEastAsia" w:eastAsiaTheme="minorEastAsia" w:hAnsiTheme="minorEastAsia"/>
                <w:color w:val="000000" w:themeColor="text1"/>
                <w:sz w:val="20"/>
              </w:rPr>
            </w:pPr>
          </w:p>
        </w:tc>
      </w:tr>
      <w:tr w:rsidR="009D14A5" w:rsidRPr="00BD70AA" w:rsidTr="00B03D18">
        <w:trPr>
          <w:trHeight w:val="106"/>
        </w:trPr>
        <w:tc>
          <w:tcPr>
            <w:tcW w:w="1101" w:type="dxa"/>
            <w:vMerge/>
          </w:tcPr>
          <w:p w:rsidR="009D14A5" w:rsidRPr="00BD70AA" w:rsidRDefault="009D14A5" w:rsidP="00B03D18">
            <w:pPr>
              <w:spacing w:line="240" w:lineRule="atLeast"/>
              <w:rPr>
                <w:rFonts w:asciiTheme="minorEastAsia" w:eastAsiaTheme="minorEastAsia" w:hAnsiTheme="minorEastAsia"/>
                <w:color w:val="000000" w:themeColor="text1"/>
                <w:sz w:val="20"/>
              </w:rPr>
            </w:pPr>
          </w:p>
        </w:tc>
        <w:tc>
          <w:tcPr>
            <w:tcW w:w="2380" w:type="dxa"/>
            <w:gridSpan w:val="2"/>
          </w:tcPr>
          <w:p w:rsidR="009D14A5" w:rsidRPr="00BD70AA" w:rsidRDefault="009D14A5" w:rsidP="00B03D18">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总经费</w:t>
            </w:r>
          </w:p>
        </w:tc>
        <w:tc>
          <w:tcPr>
            <w:tcW w:w="2190" w:type="dxa"/>
            <w:gridSpan w:val="4"/>
          </w:tcPr>
          <w:p w:rsidR="009D14A5" w:rsidRPr="00BD70AA" w:rsidRDefault="00596EC7" w:rsidP="00B03D18">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293</w:t>
            </w:r>
            <w:r w:rsidR="009D14A5" w:rsidRPr="00BD70AA">
              <w:rPr>
                <w:rFonts w:asciiTheme="minorEastAsia" w:eastAsiaTheme="minorEastAsia" w:hAnsiTheme="minorEastAsia" w:hint="eastAsia"/>
                <w:color w:val="000000" w:themeColor="text1"/>
                <w:sz w:val="20"/>
              </w:rPr>
              <w:t>万元</w:t>
            </w:r>
          </w:p>
        </w:tc>
        <w:tc>
          <w:tcPr>
            <w:tcW w:w="1365" w:type="dxa"/>
          </w:tcPr>
          <w:p w:rsidR="009D14A5" w:rsidRPr="00BD70AA" w:rsidRDefault="009D14A5" w:rsidP="00B03D18">
            <w:pPr>
              <w:spacing w:line="240" w:lineRule="atLeast"/>
              <w:jc w:val="center"/>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国拨经费</w:t>
            </w:r>
          </w:p>
        </w:tc>
        <w:tc>
          <w:tcPr>
            <w:tcW w:w="1486" w:type="dxa"/>
          </w:tcPr>
          <w:p w:rsidR="009D14A5" w:rsidRPr="00BD70AA" w:rsidRDefault="009D14A5" w:rsidP="00B03D18">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4</w:t>
            </w:r>
            <w:r w:rsidRPr="00BD70AA">
              <w:rPr>
                <w:rFonts w:asciiTheme="minorEastAsia" w:eastAsiaTheme="minorEastAsia" w:hAnsiTheme="minorEastAsia" w:hint="eastAsia"/>
                <w:color w:val="000000" w:themeColor="text1"/>
                <w:sz w:val="20"/>
              </w:rPr>
              <w:t>万元</w:t>
            </w:r>
          </w:p>
        </w:tc>
      </w:tr>
      <w:tr w:rsidR="009D14A5" w:rsidRPr="00BD70AA" w:rsidTr="00B03D18">
        <w:trPr>
          <w:trHeight w:val="529"/>
        </w:trPr>
        <w:tc>
          <w:tcPr>
            <w:tcW w:w="1101" w:type="dxa"/>
            <w:vMerge/>
          </w:tcPr>
          <w:p w:rsidR="009D14A5" w:rsidRPr="00BD70AA" w:rsidRDefault="009D14A5" w:rsidP="00B03D18">
            <w:pPr>
              <w:spacing w:line="240" w:lineRule="atLeast"/>
              <w:rPr>
                <w:rFonts w:asciiTheme="minorEastAsia" w:eastAsiaTheme="minorEastAsia" w:hAnsiTheme="minorEastAsia"/>
                <w:color w:val="000000" w:themeColor="text1"/>
                <w:sz w:val="20"/>
              </w:rPr>
            </w:pPr>
          </w:p>
        </w:tc>
        <w:tc>
          <w:tcPr>
            <w:tcW w:w="2380" w:type="dxa"/>
            <w:gridSpan w:val="2"/>
          </w:tcPr>
          <w:p w:rsidR="009D14A5" w:rsidRPr="00BD70AA" w:rsidRDefault="00F84C39" w:rsidP="00B03D18">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项目负责人</w:t>
            </w:r>
          </w:p>
        </w:tc>
        <w:tc>
          <w:tcPr>
            <w:tcW w:w="2190" w:type="dxa"/>
            <w:gridSpan w:val="4"/>
          </w:tcPr>
          <w:p w:rsidR="009D14A5" w:rsidRPr="00BD70AA" w:rsidRDefault="0074378B" w:rsidP="00B03D18">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施开创</w:t>
            </w:r>
          </w:p>
        </w:tc>
        <w:tc>
          <w:tcPr>
            <w:tcW w:w="1365" w:type="dxa"/>
          </w:tcPr>
          <w:p w:rsidR="009D14A5" w:rsidRPr="00BD70AA" w:rsidRDefault="009D14A5" w:rsidP="00B03D18">
            <w:pPr>
              <w:spacing w:line="240" w:lineRule="atLeast"/>
              <w:jc w:val="center"/>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起止年月</w:t>
            </w:r>
          </w:p>
        </w:tc>
        <w:tc>
          <w:tcPr>
            <w:tcW w:w="1486" w:type="dxa"/>
          </w:tcPr>
          <w:p w:rsidR="009D14A5" w:rsidRPr="00BD70AA" w:rsidRDefault="009D14A5" w:rsidP="00B03D18">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20</w:t>
            </w:r>
            <w:r>
              <w:rPr>
                <w:rFonts w:asciiTheme="minorEastAsia" w:eastAsiaTheme="minorEastAsia" w:hAnsiTheme="minorEastAsia" w:hint="eastAsia"/>
                <w:color w:val="000000" w:themeColor="text1"/>
                <w:sz w:val="20"/>
              </w:rPr>
              <w:t>08</w:t>
            </w:r>
            <w:r w:rsidRPr="00BD70AA">
              <w:rPr>
                <w:rFonts w:asciiTheme="minorEastAsia" w:eastAsiaTheme="minorEastAsia" w:hAnsiTheme="minorEastAsia" w:hint="eastAsia"/>
                <w:color w:val="000000" w:themeColor="text1"/>
                <w:sz w:val="20"/>
              </w:rPr>
              <w:t>.0</w:t>
            </w:r>
            <w:r w:rsidR="00596EC7">
              <w:rPr>
                <w:rFonts w:asciiTheme="minorEastAsia" w:eastAsiaTheme="minorEastAsia" w:hAnsiTheme="minorEastAsia" w:hint="eastAsia"/>
                <w:color w:val="000000" w:themeColor="text1"/>
                <w:sz w:val="20"/>
              </w:rPr>
              <w:t>3</w:t>
            </w:r>
            <w:r w:rsidRPr="00BD70AA">
              <w:rPr>
                <w:rFonts w:asciiTheme="minorEastAsia" w:eastAsiaTheme="minorEastAsia" w:hAnsiTheme="minorEastAsia" w:hint="eastAsia"/>
                <w:color w:val="000000" w:themeColor="text1"/>
                <w:sz w:val="20"/>
              </w:rPr>
              <w:t>～</w:t>
            </w:r>
          </w:p>
          <w:p w:rsidR="009D14A5" w:rsidRPr="00BD70AA" w:rsidRDefault="009D14A5" w:rsidP="00596EC7">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201</w:t>
            </w:r>
            <w:r w:rsidR="00596EC7">
              <w:rPr>
                <w:rFonts w:asciiTheme="minorEastAsia" w:eastAsiaTheme="minorEastAsia" w:hAnsiTheme="minorEastAsia" w:hint="eastAsia"/>
                <w:color w:val="000000" w:themeColor="text1"/>
                <w:sz w:val="20"/>
              </w:rPr>
              <w:t>3</w:t>
            </w:r>
            <w:r w:rsidRPr="00BD70AA">
              <w:rPr>
                <w:rFonts w:asciiTheme="minorEastAsia" w:eastAsiaTheme="minorEastAsia" w:hAnsiTheme="minorEastAsia" w:hint="eastAsia"/>
                <w:color w:val="000000" w:themeColor="text1"/>
                <w:sz w:val="20"/>
              </w:rPr>
              <w:t>.</w:t>
            </w:r>
            <w:r>
              <w:rPr>
                <w:rFonts w:asciiTheme="minorEastAsia" w:eastAsiaTheme="minorEastAsia" w:hAnsiTheme="minorEastAsia" w:hint="eastAsia"/>
                <w:color w:val="000000" w:themeColor="text1"/>
                <w:sz w:val="20"/>
              </w:rPr>
              <w:t>0</w:t>
            </w:r>
            <w:r w:rsidR="00596EC7">
              <w:rPr>
                <w:rFonts w:asciiTheme="minorEastAsia" w:eastAsiaTheme="minorEastAsia" w:hAnsiTheme="minorEastAsia" w:hint="eastAsia"/>
                <w:color w:val="000000" w:themeColor="text1"/>
                <w:sz w:val="20"/>
              </w:rPr>
              <w:t>2</w:t>
            </w:r>
          </w:p>
        </w:tc>
      </w:tr>
      <w:tr w:rsidR="009D14A5" w:rsidRPr="00BD70AA" w:rsidTr="00B03D18">
        <w:trPr>
          <w:trHeight w:val="96"/>
        </w:trPr>
        <w:tc>
          <w:tcPr>
            <w:tcW w:w="1101" w:type="dxa"/>
            <w:vMerge w:val="restart"/>
          </w:tcPr>
          <w:p w:rsidR="009D14A5" w:rsidRPr="00BD70AA" w:rsidRDefault="009D14A5" w:rsidP="00B03D18">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10.</w:t>
            </w:r>
            <w:bookmarkStart w:id="0" w:name="OLE_LINK3"/>
            <w:bookmarkStart w:id="1" w:name="OLE_LINK4"/>
            <w:r w:rsidRPr="00BD70AA">
              <w:rPr>
                <w:rFonts w:asciiTheme="minorEastAsia" w:eastAsiaTheme="minorEastAsia" w:hAnsiTheme="minorEastAsia" w:hint="eastAsia"/>
                <w:color w:val="000000" w:themeColor="text1"/>
                <w:sz w:val="20"/>
              </w:rPr>
              <w:t xml:space="preserve"> </w:t>
            </w:r>
            <w:bookmarkEnd w:id="0"/>
            <w:bookmarkEnd w:id="1"/>
          </w:p>
          <w:p w:rsidR="009D14A5" w:rsidRPr="00BD70AA" w:rsidRDefault="009D14A5" w:rsidP="00B03D18">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联系人</w:t>
            </w:r>
          </w:p>
        </w:tc>
        <w:tc>
          <w:tcPr>
            <w:tcW w:w="708" w:type="dxa"/>
          </w:tcPr>
          <w:p w:rsidR="009D14A5" w:rsidRPr="00BD70AA" w:rsidRDefault="009D14A5" w:rsidP="00B03D18">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姓名</w:t>
            </w:r>
          </w:p>
        </w:tc>
        <w:tc>
          <w:tcPr>
            <w:tcW w:w="1672" w:type="dxa"/>
          </w:tcPr>
          <w:p w:rsidR="009D14A5" w:rsidRPr="00BD70AA" w:rsidRDefault="0074378B" w:rsidP="00B03D18">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施开创</w:t>
            </w:r>
          </w:p>
        </w:tc>
        <w:tc>
          <w:tcPr>
            <w:tcW w:w="765" w:type="dxa"/>
          </w:tcPr>
          <w:p w:rsidR="009D14A5" w:rsidRPr="00BD70AA" w:rsidRDefault="009D14A5" w:rsidP="00B03D18">
            <w:pPr>
              <w:spacing w:line="240" w:lineRule="atLeast"/>
              <w:jc w:val="center"/>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电话</w:t>
            </w:r>
          </w:p>
        </w:tc>
        <w:tc>
          <w:tcPr>
            <w:tcW w:w="1425" w:type="dxa"/>
            <w:gridSpan w:val="3"/>
          </w:tcPr>
          <w:p w:rsidR="009D14A5" w:rsidRPr="00BD70AA" w:rsidRDefault="0074378B" w:rsidP="00B03D18">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0771-3105316</w:t>
            </w:r>
          </w:p>
        </w:tc>
        <w:tc>
          <w:tcPr>
            <w:tcW w:w="1365" w:type="dxa"/>
          </w:tcPr>
          <w:p w:rsidR="009D14A5" w:rsidRPr="00BD70AA" w:rsidRDefault="009D14A5" w:rsidP="00B03D18">
            <w:pPr>
              <w:spacing w:line="240" w:lineRule="atLeast"/>
              <w:jc w:val="center"/>
              <w:rPr>
                <w:rFonts w:asciiTheme="minorEastAsia" w:eastAsiaTheme="minorEastAsia" w:hAnsiTheme="minorEastAsia"/>
                <w:color w:val="000000" w:themeColor="text1"/>
                <w:sz w:val="20"/>
              </w:rPr>
            </w:pPr>
            <w:r w:rsidRPr="00BD70AA">
              <w:rPr>
                <w:rFonts w:asciiTheme="minorEastAsia" w:eastAsiaTheme="minorEastAsia" w:hAnsiTheme="minorEastAsia"/>
                <w:color w:val="000000" w:themeColor="text1"/>
                <w:sz w:val="20"/>
              </w:rPr>
              <w:t>E-Mail</w:t>
            </w:r>
          </w:p>
        </w:tc>
        <w:tc>
          <w:tcPr>
            <w:tcW w:w="1486" w:type="dxa"/>
          </w:tcPr>
          <w:p w:rsidR="009D14A5" w:rsidRPr="00BD70AA" w:rsidRDefault="0074378B" w:rsidP="0074378B">
            <w:pPr>
              <w:spacing w:line="240" w:lineRule="atLeast"/>
              <w:jc w:val="center"/>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shikaichuang</w:t>
            </w:r>
            <w:r w:rsidR="009D14A5">
              <w:rPr>
                <w:rFonts w:asciiTheme="minorEastAsia" w:eastAsiaTheme="minorEastAsia" w:hAnsiTheme="minorEastAsia" w:hint="eastAsia"/>
                <w:color w:val="000000" w:themeColor="text1"/>
                <w:sz w:val="20"/>
              </w:rPr>
              <w:t>@</w:t>
            </w:r>
            <w:r>
              <w:rPr>
                <w:rFonts w:asciiTheme="minorEastAsia" w:eastAsiaTheme="minorEastAsia" w:hAnsiTheme="minorEastAsia" w:hint="eastAsia"/>
                <w:color w:val="000000" w:themeColor="text1"/>
                <w:sz w:val="20"/>
              </w:rPr>
              <w:t>126</w:t>
            </w:r>
            <w:r w:rsidR="009D14A5">
              <w:rPr>
                <w:rFonts w:asciiTheme="minorEastAsia" w:eastAsiaTheme="minorEastAsia" w:hAnsiTheme="minorEastAsia" w:hint="eastAsia"/>
                <w:color w:val="000000" w:themeColor="text1"/>
                <w:sz w:val="20"/>
              </w:rPr>
              <w:t>.com</w:t>
            </w:r>
          </w:p>
        </w:tc>
      </w:tr>
      <w:tr w:rsidR="009D14A5" w:rsidRPr="00BD70AA" w:rsidTr="00B03D18">
        <w:trPr>
          <w:trHeight w:val="347"/>
        </w:trPr>
        <w:tc>
          <w:tcPr>
            <w:tcW w:w="1101" w:type="dxa"/>
            <w:vMerge/>
          </w:tcPr>
          <w:p w:rsidR="009D14A5" w:rsidRPr="00BD70AA" w:rsidRDefault="009D14A5" w:rsidP="00B03D18">
            <w:pPr>
              <w:spacing w:line="240" w:lineRule="atLeast"/>
              <w:rPr>
                <w:rFonts w:asciiTheme="minorEastAsia" w:eastAsiaTheme="minorEastAsia" w:hAnsiTheme="minorEastAsia"/>
                <w:color w:val="000000" w:themeColor="text1"/>
                <w:sz w:val="20"/>
              </w:rPr>
            </w:pPr>
          </w:p>
        </w:tc>
        <w:tc>
          <w:tcPr>
            <w:tcW w:w="708" w:type="dxa"/>
          </w:tcPr>
          <w:p w:rsidR="009D14A5" w:rsidRPr="00BD70AA" w:rsidRDefault="009D14A5" w:rsidP="00B03D18">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单位</w:t>
            </w:r>
          </w:p>
        </w:tc>
        <w:tc>
          <w:tcPr>
            <w:tcW w:w="6713" w:type="dxa"/>
            <w:gridSpan w:val="7"/>
          </w:tcPr>
          <w:p w:rsidR="009D14A5" w:rsidRPr="00BD70AA" w:rsidRDefault="009D14A5" w:rsidP="00B03D18">
            <w:pPr>
              <w:spacing w:line="240" w:lineRule="atLeast"/>
              <w:jc w:val="center"/>
              <w:rPr>
                <w:rFonts w:asciiTheme="minorEastAsia" w:eastAsiaTheme="minorEastAsia" w:hAnsiTheme="minorEastAsia"/>
                <w:color w:val="000000" w:themeColor="text1"/>
                <w:sz w:val="20"/>
              </w:rPr>
            </w:pPr>
          </w:p>
        </w:tc>
      </w:tr>
    </w:tbl>
    <w:p w:rsidR="009D14A5" w:rsidRDefault="009D14A5">
      <w:pPr>
        <w:sectPr w:rsidR="009D14A5" w:rsidSect="005B6DC7">
          <w:pgSz w:w="11906" w:h="16838"/>
          <w:pgMar w:top="1440" w:right="1800" w:bottom="1440" w:left="1800" w:header="851" w:footer="992" w:gutter="0"/>
          <w:cols w:space="425"/>
          <w:docGrid w:type="lines" w:linePitch="312"/>
        </w:sectPr>
      </w:pPr>
    </w:p>
    <w:p w:rsidR="009D14A5" w:rsidRDefault="005B4D1E" w:rsidP="009D14A5">
      <w:pPr>
        <w:spacing w:line="360" w:lineRule="auto"/>
        <w:jc w:val="center"/>
        <w:rPr>
          <w:b/>
          <w:bCs/>
          <w:sz w:val="30"/>
          <w:szCs w:val="30"/>
        </w:rPr>
      </w:pPr>
      <w:r>
        <w:rPr>
          <w:rFonts w:hint="eastAsia"/>
          <w:b/>
          <w:bCs/>
          <w:sz w:val="30"/>
          <w:szCs w:val="30"/>
        </w:rPr>
        <w:lastRenderedPageBreak/>
        <w:t>目</w:t>
      </w:r>
      <w:r>
        <w:rPr>
          <w:rFonts w:hint="eastAsia"/>
          <w:b/>
          <w:bCs/>
          <w:sz w:val="30"/>
          <w:szCs w:val="30"/>
        </w:rPr>
        <w:t xml:space="preserve"> </w:t>
      </w:r>
      <w:r>
        <w:rPr>
          <w:rFonts w:hint="eastAsia"/>
          <w:b/>
          <w:bCs/>
          <w:sz w:val="30"/>
          <w:szCs w:val="30"/>
        </w:rPr>
        <w:t>录</w:t>
      </w:r>
    </w:p>
    <w:p w:rsidR="00EC0434" w:rsidRDefault="00DC7417">
      <w:pPr>
        <w:pStyle w:val="10"/>
        <w:tabs>
          <w:tab w:val="right" w:leader="dot" w:pos="8296"/>
        </w:tabs>
        <w:rPr>
          <w:rFonts w:eastAsiaTheme="minorEastAsia"/>
          <w:b w:val="0"/>
          <w:bCs w:val="0"/>
          <w:caps w:val="0"/>
          <w:noProof/>
          <w:kern w:val="2"/>
          <w:sz w:val="21"/>
          <w:szCs w:val="22"/>
        </w:rPr>
      </w:pPr>
      <w:r w:rsidRPr="00DC7417">
        <w:rPr>
          <w:b w:val="0"/>
          <w:bCs w:val="0"/>
          <w:sz w:val="30"/>
          <w:szCs w:val="30"/>
        </w:rPr>
        <w:fldChar w:fldCharType="begin"/>
      </w:r>
      <w:r w:rsidR="00EC0434">
        <w:rPr>
          <w:b w:val="0"/>
          <w:bCs w:val="0"/>
          <w:sz w:val="30"/>
          <w:szCs w:val="30"/>
        </w:rPr>
        <w:instrText xml:space="preserve"> </w:instrText>
      </w:r>
      <w:r w:rsidR="00EC0434">
        <w:rPr>
          <w:rFonts w:hint="eastAsia"/>
          <w:b w:val="0"/>
          <w:bCs w:val="0"/>
          <w:sz w:val="30"/>
          <w:szCs w:val="30"/>
        </w:rPr>
        <w:instrText>TOC \o "1-3" \u</w:instrText>
      </w:r>
      <w:r w:rsidR="00EC0434">
        <w:rPr>
          <w:b w:val="0"/>
          <w:bCs w:val="0"/>
          <w:sz w:val="30"/>
          <w:szCs w:val="30"/>
        </w:rPr>
        <w:instrText xml:space="preserve"> </w:instrText>
      </w:r>
      <w:r w:rsidRPr="00DC7417">
        <w:rPr>
          <w:b w:val="0"/>
          <w:bCs w:val="0"/>
          <w:sz w:val="30"/>
          <w:szCs w:val="30"/>
        </w:rPr>
        <w:fldChar w:fldCharType="separate"/>
      </w:r>
      <w:r w:rsidR="00EC0434">
        <w:rPr>
          <w:rFonts w:hint="eastAsia"/>
          <w:noProof/>
        </w:rPr>
        <w:t>引言</w:t>
      </w:r>
      <w:r w:rsidR="00EC0434">
        <w:rPr>
          <w:rFonts w:hint="eastAsia"/>
          <w:noProof/>
        </w:rPr>
        <w:tab/>
      </w:r>
      <w:r>
        <w:rPr>
          <w:rFonts w:hint="eastAsia"/>
          <w:noProof/>
        </w:rPr>
        <w:fldChar w:fldCharType="begin"/>
      </w:r>
      <w:r w:rsidR="00EC0434">
        <w:rPr>
          <w:rFonts w:hint="eastAsia"/>
          <w:noProof/>
        </w:rPr>
        <w:instrText xml:space="preserve"> </w:instrText>
      </w:r>
      <w:r w:rsidR="00EC0434">
        <w:rPr>
          <w:noProof/>
        </w:rPr>
        <w:instrText>PAGEREF _Toc405816265 \h</w:instrText>
      </w:r>
      <w:r w:rsidR="00EC0434">
        <w:rPr>
          <w:rFonts w:hint="eastAsia"/>
          <w:noProof/>
        </w:rPr>
        <w:instrText xml:space="preserve"> </w:instrText>
      </w:r>
      <w:r>
        <w:rPr>
          <w:rFonts w:hint="eastAsia"/>
          <w:noProof/>
        </w:rPr>
      </w:r>
      <w:r>
        <w:rPr>
          <w:rFonts w:hint="eastAsia"/>
          <w:noProof/>
        </w:rPr>
        <w:fldChar w:fldCharType="separate"/>
      </w:r>
      <w:r w:rsidR="00776808">
        <w:rPr>
          <w:noProof/>
        </w:rPr>
        <w:t>1</w:t>
      </w:r>
      <w:r>
        <w:rPr>
          <w:rFonts w:hint="eastAsia"/>
          <w:noProof/>
        </w:rPr>
        <w:fldChar w:fldCharType="end"/>
      </w:r>
    </w:p>
    <w:p w:rsidR="00EC0434" w:rsidRDefault="00EC0434">
      <w:pPr>
        <w:pStyle w:val="10"/>
        <w:tabs>
          <w:tab w:val="left" w:pos="440"/>
          <w:tab w:val="right" w:leader="dot" w:pos="8296"/>
        </w:tabs>
        <w:rPr>
          <w:rFonts w:eastAsiaTheme="minorEastAsia"/>
          <w:b w:val="0"/>
          <w:bCs w:val="0"/>
          <w:caps w:val="0"/>
          <w:noProof/>
          <w:kern w:val="2"/>
          <w:sz w:val="21"/>
          <w:szCs w:val="22"/>
        </w:rPr>
      </w:pPr>
      <w:r>
        <w:rPr>
          <w:rFonts w:hint="eastAsia"/>
          <w:noProof/>
        </w:rPr>
        <w:t>1</w:t>
      </w:r>
      <w:r>
        <w:rPr>
          <w:rFonts w:eastAsiaTheme="minorEastAsia" w:hint="eastAsia"/>
          <w:b w:val="0"/>
          <w:bCs w:val="0"/>
          <w:caps w:val="0"/>
          <w:noProof/>
          <w:kern w:val="2"/>
          <w:sz w:val="21"/>
          <w:szCs w:val="22"/>
        </w:rPr>
        <w:tab/>
      </w:r>
      <w:r>
        <w:rPr>
          <w:rFonts w:hint="eastAsia"/>
          <w:noProof/>
        </w:rPr>
        <w:t>HP-PRRSV</w:t>
      </w:r>
      <w:r>
        <w:rPr>
          <w:rFonts w:hint="eastAsia"/>
          <w:noProof/>
        </w:rPr>
        <w:t>快速鉴别检测方法的建立</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_Toc405816266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11</w:t>
      </w:r>
      <w:r w:rsidR="00DC7417">
        <w:rPr>
          <w:rFonts w:hint="eastAsia"/>
          <w:noProof/>
        </w:rPr>
        <w:fldChar w:fldCharType="end"/>
      </w:r>
    </w:p>
    <w:p w:rsidR="00EC0434" w:rsidRDefault="00EC0434">
      <w:pPr>
        <w:pStyle w:val="20"/>
        <w:tabs>
          <w:tab w:val="left" w:pos="880"/>
          <w:tab w:val="right" w:leader="dot" w:pos="8296"/>
        </w:tabs>
        <w:rPr>
          <w:rFonts w:eastAsiaTheme="minorEastAsia"/>
          <w:smallCaps w:val="0"/>
          <w:noProof/>
          <w:kern w:val="2"/>
          <w:sz w:val="21"/>
          <w:szCs w:val="22"/>
        </w:rPr>
      </w:pPr>
      <w:r>
        <w:rPr>
          <w:rFonts w:hint="eastAsia"/>
          <w:noProof/>
        </w:rPr>
        <w:t>1.1</w:t>
      </w:r>
      <w:r>
        <w:rPr>
          <w:rFonts w:eastAsiaTheme="minorEastAsia" w:hint="eastAsia"/>
          <w:smallCaps w:val="0"/>
          <w:noProof/>
          <w:kern w:val="2"/>
          <w:sz w:val="21"/>
          <w:szCs w:val="22"/>
        </w:rPr>
        <w:tab/>
      </w:r>
      <w:r>
        <w:rPr>
          <w:rFonts w:hint="eastAsia"/>
          <w:noProof/>
        </w:rPr>
        <w:t>同时检测并区分美洲型及欧洲型</w:t>
      </w:r>
      <w:r>
        <w:rPr>
          <w:rFonts w:hint="eastAsia"/>
          <w:noProof/>
        </w:rPr>
        <w:t>PRRSV</w:t>
      </w:r>
      <w:r>
        <w:rPr>
          <w:rFonts w:hint="eastAsia"/>
          <w:noProof/>
        </w:rPr>
        <w:t>的多重</w:t>
      </w:r>
      <w:r>
        <w:rPr>
          <w:rFonts w:hint="eastAsia"/>
          <w:noProof/>
        </w:rPr>
        <w:t>RT-PCR</w:t>
      </w:r>
      <w:r>
        <w:rPr>
          <w:rFonts w:hint="eastAsia"/>
          <w:noProof/>
        </w:rPr>
        <w:t>检测方法的建立</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_Toc405816267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11</w:t>
      </w:r>
      <w:r w:rsidR="00DC7417">
        <w:rPr>
          <w:rFonts w:hint="eastAsia"/>
          <w:noProof/>
        </w:rPr>
        <w:fldChar w:fldCharType="end"/>
      </w:r>
    </w:p>
    <w:p w:rsidR="00EC0434" w:rsidRDefault="00EC0434">
      <w:pPr>
        <w:pStyle w:val="20"/>
        <w:tabs>
          <w:tab w:val="left" w:pos="880"/>
          <w:tab w:val="right" w:leader="dot" w:pos="8296"/>
        </w:tabs>
        <w:rPr>
          <w:rFonts w:eastAsiaTheme="minorEastAsia"/>
          <w:smallCaps w:val="0"/>
          <w:noProof/>
          <w:kern w:val="2"/>
          <w:sz w:val="21"/>
          <w:szCs w:val="22"/>
        </w:rPr>
      </w:pPr>
      <w:r>
        <w:rPr>
          <w:rFonts w:hint="eastAsia"/>
          <w:noProof/>
        </w:rPr>
        <w:t>1.2</w:t>
      </w:r>
      <w:r>
        <w:rPr>
          <w:rFonts w:eastAsiaTheme="minorEastAsia" w:hint="eastAsia"/>
          <w:smallCaps w:val="0"/>
          <w:noProof/>
          <w:kern w:val="2"/>
          <w:sz w:val="21"/>
          <w:szCs w:val="22"/>
        </w:rPr>
        <w:tab/>
      </w:r>
      <w:r>
        <w:rPr>
          <w:rFonts w:hint="eastAsia"/>
          <w:noProof/>
        </w:rPr>
        <w:t>检测猪瘟病毒及美洲型、欧洲型</w:t>
      </w:r>
      <w:r>
        <w:rPr>
          <w:rFonts w:hint="eastAsia"/>
          <w:noProof/>
        </w:rPr>
        <w:t>PRRSV</w:t>
      </w:r>
      <w:r>
        <w:rPr>
          <w:rFonts w:hint="eastAsia"/>
          <w:noProof/>
        </w:rPr>
        <w:t>的多重</w:t>
      </w:r>
      <w:r>
        <w:rPr>
          <w:rFonts w:hint="eastAsia"/>
          <w:noProof/>
        </w:rPr>
        <w:t>RT-PCR</w:t>
      </w:r>
      <w:r>
        <w:rPr>
          <w:rFonts w:hint="eastAsia"/>
          <w:noProof/>
        </w:rPr>
        <w:t>检测方法的建立</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_Toc405816268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16</w:t>
      </w:r>
      <w:r w:rsidR="00DC7417">
        <w:rPr>
          <w:rFonts w:hint="eastAsia"/>
          <w:noProof/>
        </w:rPr>
        <w:fldChar w:fldCharType="end"/>
      </w:r>
    </w:p>
    <w:p w:rsidR="00EC0434" w:rsidRDefault="00EC0434">
      <w:pPr>
        <w:pStyle w:val="20"/>
        <w:tabs>
          <w:tab w:val="left" w:pos="880"/>
          <w:tab w:val="right" w:leader="dot" w:pos="8296"/>
        </w:tabs>
        <w:rPr>
          <w:rFonts w:eastAsiaTheme="minorEastAsia"/>
          <w:smallCaps w:val="0"/>
          <w:noProof/>
          <w:kern w:val="2"/>
          <w:sz w:val="21"/>
          <w:szCs w:val="22"/>
        </w:rPr>
      </w:pPr>
      <w:r>
        <w:rPr>
          <w:rFonts w:hint="eastAsia"/>
          <w:noProof/>
        </w:rPr>
        <w:t>1.3</w:t>
      </w:r>
      <w:r>
        <w:rPr>
          <w:rFonts w:eastAsiaTheme="minorEastAsia" w:hint="eastAsia"/>
          <w:smallCaps w:val="0"/>
          <w:noProof/>
          <w:kern w:val="2"/>
          <w:sz w:val="21"/>
          <w:szCs w:val="22"/>
        </w:rPr>
        <w:tab/>
      </w:r>
      <w:r>
        <w:rPr>
          <w:rFonts w:hint="eastAsia"/>
          <w:noProof/>
        </w:rPr>
        <w:t>同时检测并区分美洲型及欧洲型</w:t>
      </w:r>
      <w:r>
        <w:rPr>
          <w:rFonts w:hint="eastAsia"/>
          <w:noProof/>
        </w:rPr>
        <w:t>PRRSV</w:t>
      </w:r>
      <w:r>
        <w:rPr>
          <w:rFonts w:hint="eastAsia"/>
          <w:noProof/>
        </w:rPr>
        <w:t>的多重荧光定量</w:t>
      </w:r>
      <w:r>
        <w:rPr>
          <w:rFonts w:hint="eastAsia"/>
          <w:noProof/>
        </w:rPr>
        <w:t>RT-PCR</w:t>
      </w:r>
      <w:r>
        <w:rPr>
          <w:rFonts w:hint="eastAsia"/>
          <w:noProof/>
        </w:rPr>
        <w:t>检测方法的建立</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_Toc405816269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22</w:t>
      </w:r>
      <w:r w:rsidR="00DC7417">
        <w:rPr>
          <w:rFonts w:hint="eastAsia"/>
          <w:noProof/>
        </w:rPr>
        <w:fldChar w:fldCharType="end"/>
      </w:r>
    </w:p>
    <w:p w:rsidR="00EC0434" w:rsidRDefault="00EC0434">
      <w:pPr>
        <w:pStyle w:val="10"/>
        <w:tabs>
          <w:tab w:val="left" w:pos="440"/>
          <w:tab w:val="right" w:leader="dot" w:pos="8296"/>
        </w:tabs>
        <w:rPr>
          <w:rFonts w:eastAsiaTheme="minorEastAsia"/>
          <w:b w:val="0"/>
          <w:bCs w:val="0"/>
          <w:caps w:val="0"/>
          <w:noProof/>
          <w:kern w:val="2"/>
          <w:sz w:val="21"/>
          <w:szCs w:val="22"/>
        </w:rPr>
      </w:pPr>
      <w:r>
        <w:rPr>
          <w:rFonts w:hint="eastAsia"/>
          <w:noProof/>
        </w:rPr>
        <w:t>2</w:t>
      </w:r>
      <w:r>
        <w:rPr>
          <w:rFonts w:eastAsiaTheme="minorEastAsia" w:hint="eastAsia"/>
          <w:b w:val="0"/>
          <w:bCs w:val="0"/>
          <w:caps w:val="0"/>
          <w:noProof/>
          <w:kern w:val="2"/>
          <w:sz w:val="21"/>
          <w:szCs w:val="22"/>
        </w:rPr>
        <w:tab/>
      </w:r>
      <w:r>
        <w:rPr>
          <w:rFonts w:hint="eastAsia"/>
          <w:noProof/>
        </w:rPr>
        <w:t>两项</w:t>
      </w:r>
      <w:r>
        <w:rPr>
          <w:rFonts w:hint="eastAsia"/>
          <w:noProof/>
        </w:rPr>
        <w:t>HP-PRRSV</w:t>
      </w:r>
      <w:r>
        <w:rPr>
          <w:rFonts w:hint="eastAsia"/>
          <w:noProof/>
        </w:rPr>
        <w:t>快速检测方法的广西地方标准的制定</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_Toc405816270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28</w:t>
      </w:r>
      <w:r w:rsidR="00DC7417">
        <w:rPr>
          <w:rFonts w:hint="eastAsia"/>
          <w:noProof/>
        </w:rPr>
        <w:fldChar w:fldCharType="end"/>
      </w:r>
    </w:p>
    <w:p w:rsidR="00EC0434" w:rsidRDefault="00EC0434">
      <w:pPr>
        <w:pStyle w:val="20"/>
        <w:tabs>
          <w:tab w:val="left" w:pos="880"/>
          <w:tab w:val="right" w:leader="dot" w:pos="8296"/>
        </w:tabs>
        <w:rPr>
          <w:rFonts w:eastAsiaTheme="minorEastAsia"/>
          <w:smallCaps w:val="0"/>
          <w:noProof/>
          <w:kern w:val="2"/>
          <w:sz w:val="21"/>
          <w:szCs w:val="22"/>
        </w:rPr>
      </w:pPr>
      <w:r>
        <w:rPr>
          <w:rFonts w:hint="eastAsia"/>
          <w:noProof/>
        </w:rPr>
        <w:t>2.1</w:t>
      </w:r>
      <w:r>
        <w:rPr>
          <w:rFonts w:eastAsiaTheme="minorEastAsia" w:hint="eastAsia"/>
          <w:smallCaps w:val="0"/>
          <w:noProof/>
          <w:kern w:val="2"/>
          <w:sz w:val="21"/>
          <w:szCs w:val="22"/>
        </w:rPr>
        <w:tab/>
      </w:r>
      <w:r>
        <w:rPr>
          <w:rFonts w:hint="eastAsia"/>
          <w:noProof/>
        </w:rPr>
        <w:t>广西地方标准“猪繁殖与呼吸综合征病毒和猪瘟病毒的检测的制定</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_Toc405816271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28</w:t>
      </w:r>
      <w:r w:rsidR="00DC7417">
        <w:rPr>
          <w:rFonts w:hint="eastAsia"/>
          <w:noProof/>
        </w:rPr>
        <w:fldChar w:fldCharType="end"/>
      </w:r>
    </w:p>
    <w:p w:rsidR="00EC0434" w:rsidRDefault="00EC0434">
      <w:pPr>
        <w:pStyle w:val="20"/>
        <w:tabs>
          <w:tab w:val="left" w:pos="880"/>
          <w:tab w:val="right" w:leader="dot" w:pos="8296"/>
        </w:tabs>
        <w:rPr>
          <w:rFonts w:eastAsiaTheme="minorEastAsia"/>
          <w:smallCaps w:val="0"/>
          <w:noProof/>
          <w:kern w:val="2"/>
          <w:sz w:val="21"/>
          <w:szCs w:val="22"/>
        </w:rPr>
      </w:pPr>
      <w:r>
        <w:rPr>
          <w:rFonts w:hint="eastAsia"/>
          <w:noProof/>
        </w:rPr>
        <w:t>2.2</w:t>
      </w:r>
      <w:r>
        <w:rPr>
          <w:rFonts w:eastAsiaTheme="minorEastAsia" w:hint="eastAsia"/>
          <w:smallCaps w:val="0"/>
          <w:noProof/>
          <w:kern w:val="2"/>
          <w:sz w:val="21"/>
          <w:szCs w:val="22"/>
        </w:rPr>
        <w:tab/>
      </w:r>
      <w:r>
        <w:rPr>
          <w:rFonts w:hint="eastAsia"/>
          <w:noProof/>
        </w:rPr>
        <w:t>广西地方标准“美洲型及欧洲型猪繁殖与呼吸综合征病毒的检测”的制定</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_Toc405816272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29</w:t>
      </w:r>
      <w:r w:rsidR="00DC7417">
        <w:rPr>
          <w:rFonts w:hint="eastAsia"/>
          <w:noProof/>
        </w:rPr>
        <w:fldChar w:fldCharType="end"/>
      </w:r>
    </w:p>
    <w:p w:rsidR="00EC0434" w:rsidRDefault="00EC0434">
      <w:pPr>
        <w:pStyle w:val="10"/>
        <w:tabs>
          <w:tab w:val="left" w:pos="440"/>
          <w:tab w:val="right" w:leader="dot" w:pos="8296"/>
        </w:tabs>
        <w:rPr>
          <w:rFonts w:eastAsiaTheme="minorEastAsia"/>
          <w:b w:val="0"/>
          <w:bCs w:val="0"/>
          <w:caps w:val="0"/>
          <w:noProof/>
          <w:kern w:val="2"/>
          <w:sz w:val="21"/>
          <w:szCs w:val="22"/>
        </w:rPr>
      </w:pPr>
      <w:r>
        <w:rPr>
          <w:rFonts w:hint="eastAsia"/>
          <w:noProof/>
        </w:rPr>
        <w:t>3</w:t>
      </w:r>
      <w:r>
        <w:rPr>
          <w:rFonts w:eastAsiaTheme="minorEastAsia" w:hint="eastAsia"/>
          <w:b w:val="0"/>
          <w:bCs w:val="0"/>
          <w:caps w:val="0"/>
          <w:noProof/>
          <w:kern w:val="2"/>
          <w:sz w:val="21"/>
          <w:szCs w:val="22"/>
        </w:rPr>
        <w:tab/>
      </w:r>
      <w:r>
        <w:rPr>
          <w:rFonts w:hint="eastAsia"/>
          <w:noProof/>
        </w:rPr>
        <w:t>HP-PRRSV</w:t>
      </w:r>
      <w:r>
        <w:rPr>
          <w:rFonts w:hint="eastAsia"/>
          <w:noProof/>
        </w:rPr>
        <w:t>分子流行病学研究</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_Toc405816273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30</w:t>
      </w:r>
      <w:r w:rsidR="00DC7417">
        <w:rPr>
          <w:rFonts w:hint="eastAsia"/>
          <w:noProof/>
        </w:rPr>
        <w:fldChar w:fldCharType="end"/>
      </w:r>
    </w:p>
    <w:p w:rsidR="00EC0434" w:rsidRDefault="00EC0434">
      <w:pPr>
        <w:pStyle w:val="20"/>
        <w:tabs>
          <w:tab w:val="left" w:pos="880"/>
          <w:tab w:val="right" w:leader="dot" w:pos="8296"/>
        </w:tabs>
        <w:rPr>
          <w:rFonts w:eastAsiaTheme="minorEastAsia"/>
          <w:smallCaps w:val="0"/>
          <w:noProof/>
          <w:kern w:val="2"/>
          <w:sz w:val="21"/>
          <w:szCs w:val="22"/>
        </w:rPr>
      </w:pPr>
      <w:r>
        <w:rPr>
          <w:rFonts w:hint="eastAsia"/>
          <w:noProof/>
        </w:rPr>
        <w:t>3.1</w:t>
      </w:r>
      <w:r>
        <w:rPr>
          <w:rFonts w:eastAsiaTheme="minorEastAsia" w:hint="eastAsia"/>
          <w:smallCaps w:val="0"/>
          <w:noProof/>
          <w:kern w:val="2"/>
          <w:sz w:val="21"/>
          <w:szCs w:val="22"/>
        </w:rPr>
        <w:tab/>
      </w:r>
      <w:r>
        <w:rPr>
          <w:rFonts w:hint="eastAsia"/>
          <w:noProof/>
        </w:rPr>
        <w:t>广西</w:t>
      </w:r>
      <w:r>
        <w:rPr>
          <w:rFonts w:hint="eastAsia"/>
          <w:noProof/>
        </w:rPr>
        <w:t>PRRSV ORF5</w:t>
      </w:r>
      <w:r>
        <w:rPr>
          <w:rFonts w:hint="eastAsia"/>
          <w:noProof/>
        </w:rPr>
        <w:t>及</w:t>
      </w:r>
      <w:r>
        <w:rPr>
          <w:rFonts w:hint="eastAsia"/>
          <w:noProof/>
        </w:rPr>
        <w:t>ORF7</w:t>
      </w:r>
      <w:r>
        <w:rPr>
          <w:rFonts w:hint="eastAsia"/>
          <w:noProof/>
        </w:rPr>
        <w:t>基因的遗传变异分析研究</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_Toc405816274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30</w:t>
      </w:r>
      <w:r w:rsidR="00DC7417">
        <w:rPr>
          <w:rFonts w:hint="eastAsia"/>
          <w:noProof/>
        </w:rPr>
        <w:fldChar w:fldCharType="end"/>
      </w:r>
    </w:p>
    <w:p w:rsidR="00EC0434" w:rsidRDefault="00EC0434">
      <w:pPr>
        <w:pStyle w:val="20"/>
        <w:tabs>
          <w:tab w:val="left" w:pos="880"/>
          <w:tab w:val="right" w:leader="dot" w:pos="8296"/>
        </w:tabs>
        <w:rPr>
          <w:rFonts w:eastAsiaTheme="minorEastAsia"/>
          <w:smallCaps w:val="0"/>
          <w:noProof/>
          <w:kern w:val="2"/>
          <w:sz w:val="21"/>
          <w:szCs w:val="22"/>
        </w:rPr>
      </w:pPr>
      <w:r>
        <w:rPr>
          <w:rFonts w:hint="eastAsia"/>
          <w:noProof/>
        </w:rPr>
        <w:t>3.2</w:t>
      </w:r>
      <w:r>
        <w:rPr>
          <w:rFonts w:eastAsiaTheme="minorEastAsia" w:hint="eastAsia"/>
          <w:smallCaps w:val="0"/>
          <w:noProof/>
          <w:kern w:val="2"/>
          <w:sz w:val="21"/>
          <w:szCs w:val="22"/>
        </w:rPr>
        <w:tab/>
      </w:r>
      <w:r>
        <w:rPr>
          <w:rFonts w:hint="eastAsia"/>
          <w:noProof/>
        </w:rPr>
        <w:t>广西</w:t>
      </w:r>
      <w:r>
        <w:rPr>
          <w:rFonts w:hint="eastAsia"/>
          <w:noProof/>
        </w:rPr>
        <w:t>PRRSV Nsp2</w:t>
      </w:r>
      <w:r>
        <w:rPr>
          <w:rFonts w:hint="eastAsia"/>
          <w:noProof/>
        </w:rPr>
        <w:t>基因的遗传变异分析研究</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_Toc405816275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35</w:t>
      </w:r>
      <w:r w:rsidR="00DC7417">
        <w:rPr>
          <w:rFonts w:hint="eastAsia"/>
          <w:noProof/>
        </w:rPr>
        <w:fldChar w:fldCharType="end"/>
      </w:r>
    </w:p>
    <w:p w:rsidR="00EC0434" w:rsidRDefault="00EC0434">
      <w:pPr>
        <w:pStyle w:val="20"/>
        <w:tabs>
          <w:tab w:val="left" w:pos="880"/>
          <w:tab w:val="right" w:leader="dot" w:pos="8296"/>
        </w:tabs>
        <w:rPr>
          <w:rFonts w:eastAsiaTheme="minorEastAsia"/>
          <w:smallCaps w:val="0"/>
          <w:noProof/>
          <w:kern w:val="2"/>
          <w:sz w:val="21"/>
          <w:szCs w:val="22"/>
        </w:rPr>
      </w:pPr>
      <w:r>
        <w:rPr>
          <w:rFonts w:hint="eastAsia"/>
          <w:noProof/>
        </w:rPr>
        <w:t>3.3</w:t>
      </w:r>
      <w:r>
        <w:rPr>
          <w:rFonts w:eastAsiaTheme="minorEastAsia" w:hint="eastAsia"/>
          <w:smallCaps w:val="0"/>
          <w:noProof/>
          <w:kern w:val="2"/>
          <w:sz w:val="21"/>
          <w:szCs w:val="22"/>
        </w:rPr>
        <w:tab/>
      </w:r>
      <w:r>
        <w:rPr>
          <w:rFonts w:hint="eastAsia"/>
          <w:noProof/>
        </w:rPr>
        <w:t>HP-PRRSV</w:t>
      </w:r>
      <w:r>
        <w:rPr>
          <w:rFonts w:hint="eastAsia"/>
          <w:noProof/>
        </w:rPr>
        <w:t>广西地方株的分离鉴定及其全基因组分子特征分析研究</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_Toc405816276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40</w:t>
      </w:r>
      <w:r w:rsidR="00DC7417">
        <w:rPr>
          <w:rFonts w:hint="eastAsia"/>
          <w:noProof/>
        </w:rPr>
        <w:fldChar w:fldCharType="end"/>
      </w:r>
    </w:p>
    <w:p w:rsidR="00EC0434" w:rsidRDefault="00EC0434">
      <w:pPr>
        <w:pStyle w:val="20"/>
        <w:tabs>
          <w:tab w:val="left" w:pos="880"/>
          <w:tab w:val="right" w:leader="dot" w:pos="8296"/>
        </w:tabs>
        <w:rPr>
          <w:rFonts w:eastAsiaTheme="minorEastAsia"/>
          <w:smallCaps w:val="0"/>
          <w:noProof/>
          <w:kern w:val="2"/>
          <w:sz w:val="21"/>
          <w:szCs w:val="22"/>
        </w:rPr>
      </w:pPr>
      <w:r>
        <w:rPr>
          <w:rFonts w:hint="eastAsia"/>
          <w:noProof/>
        </w:rPr>
        <w:t>3.4</w:t>
      </w:r>
      <w:r>
        <w:rPr>
          <w:rFonts w:eastAsiaTheme="minorEastAsia" w:hint="eastAsia"/>
          <w:smallCaps w:val="0"/>
          <w:noProof/>
          <w:kern w:val="2"/>
          <w:sz w:val="21"/>
          <w:szCs w:val="22"/>
        </w:rPr>
        <w:tab/>
      </w:r>
      <w:r>
        <w:rPr>
          <w:rFonts w:hint="eastAsia"/>
          <w:noProof/>
        </w:rPr>
        <w:t>免疫压力下</w:t>
      </w:r>
      <w:r>
        <w:rPr>
          <w:rFonts w:hint="eastAsia"/>
          <w:noProof/>
        </w:rPr>
        <w:t>HP-PRRSV</w:t>
      </w:r>
      <w:r>
        <w:rPr>
          <w:rFonts w:hint="eastAsia"/>
          <w:noProof/>
        </w:rPr>
        <w:t>田间流行毒株的遗传进化分析研究</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_Toc405816277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54</w:t>
      </w:r>
      <w:r w:rsidR="00DC7417">
        <w:rPr>
          <w:rFonts w:hint="eastAsia"/>
          <w:noProof/>
        </w:rPr>
        <w:fldChar w:fldCharType="end"/>
      </w:r>
    </w:p>
    <w:p w:rsidR="00EC0434" w:rsidRDefault="00EC0434">
      <w:pPr>
        <w:pStyle w:val="20"/>
        <w:tabs>
          <w:tab w:val="left" w:pos="880"/>
          <w:tab w:val="right" w:leader="dot" w:pos="8296"/>
        </w:tabs>
        <w:rPr>
          <w:rFonts w:eastAsiaTheme="minorEastAsia"/>
          <w:smallCaps w:val="0"/>
          <w:noProof/>
          <w:kern w:val="2"/>
          <w:sz w:val="21"/>
          <w:szCs w:val="22"/>
        </w:rPr>
      </w:pPr>
      <w:r>
        <w:rPr>
          <w:rFonts w:hint="eastAsia"/>
          <w:noProof/>
        </w:rPr>
        <w:t>3.5</w:t>
      </w:r>
      <w:r>
        <w:rPr>
          <w:rFonts w:eastAsiaTheme="minorEastAsia" w:hint="eastAsia"/>
          <w:smallCaps w:val="0"/>
          <w:noProof/>
          <w:kern w:val="2"/>
          <w:sz w:val="21"/>
          <w:szCs w:val="22"/>
        </w:rPr>
        <w:tab/>
      </w:r>
      <w:r>
        <w:rPr>
          <w:rFonts w:hint="eastAsia"/>
          <w:noProof/>
        </w:rPr>
        <w:t>PRRSV</w:t>
      </w:r>
      <w:r>
        <w:rPr>
          <w:rFonts w:hint="eastAsia"/>
          <w:noProof/>
        </w:rPr>
        <w:t>基因序列整理及上传</w:t>
      </w:r>
      <w:r>
        <w:rPr>
          <w:rFonts w:hint="eastAsia"/>
          <w:noProof/>
        </w:rPr>
        <w:t>GenBank</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_Toc405816278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63</w:t>
      </w:r>
      <w:r w:rsidR="00DC7417">
        <w:rPr>
          <w:rFonts w:hint="eastAsia"/>
          <w:noProof/>
        </w:rPr>
        <w:fldChar w:fldCharType="end"/>
      </w:r>
    </w:p>
    <w:p w:rsidR="00EC0434" w:rsidRDefault="00EC0434">
      <w:pPr>
        <w:pStyle w:val="10"/>
        <w:tabs>
          <w:tab w:val="left" w:pos="440"/>
          <w:tab w:val="right" w:leader="dot" w:pos="8296"/>
        </w:tabs>
        <w:rPr>
          <w:rFonts w:eastAsiaTheme="minorEastAsia"/>
          <w:b w:val="0"/>
          <w:bCs w:val="0"/>
          <w:caps w:val="0"/>
          <w:noProof/>
          <w:kern w:val="2"/>
          <w:sz w:val="21"/>
          <w:szCs w:val="22"/>
        </w:rPr>
      </w:pPr>
      <w:r>
        <w:rPr>
          <w:rFonts w:hint="eastAsia"/>
          <w:noProof/>
        </w:rPr>
        <w:t>4</w:t>
      </w:r>
      <w:r>
        <w:rPr>
          <w:rFonts w:eastAsiaTheme="minorEastAsia" w:hint="eastAsia"/>
          <w:b w:val="0"/>
          <w:bCs w:val="0"/>
          <w:caps w:val="0"/>
          <w:noProof/>
          <w:kern w:val="2"/>
          <w:sz w:val="21"/>
          <w:szCs w:val="22"/>
        </w:rPr>
        <w:tab/>
      </w:r>
      <w:r>
        <w:rPr>
          <w:rFonts w:hint="eastAsia"/>
          <w:noProof/>
        </w:rPr>
        <w:t>PRRSV</w:t>
      </w:r>
      <w:r>
        <w:rPr>
          <w:rFonts w:hint="eastAsia"/>
          <w:noProof/>
        </w:rPr>
        <w:t>感染及疫苗免疫对机体免疫功能影响的研究</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_Toc405816279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64</w:t>
      </w:r>
      <w:r w:rsidR="00DC7417">
        <w:rPr>
          <w:rFonts w:hint="eastAsia"/>
          <w:noProof/>
        </w:rPr>
        <w:fldChar w:fldCharType="end"/>
      </w:r>
    </w:p>
    <w:p w:rsidR="00EC0434" w:rsidRDefault="00EC0434">
      <w:pPr>
        <w:pStyle w:val="20"/>
        <w:tabs>
          <w:tab w:val="left" w:pos="880"/>
          <w:tab w:val="right" w:leader="dot" w:pos="8296"/>
        </w:tabs>
        <w:rPr>
          <w:rFonts w:eastAsiaTheme="minorEastAsia"/>
          <w:smallCaps w:val="0"/>
          <w:noProof/>
          <w:kern w:val="2"/>
          <w:sz w:val="21"/>
          <w:szCs w:val="22"/>
        </w:rPr>
      </w:pPr>
      <w:r>
        <w:rPr>
          <w:rFonts w:hint="eastAsia"/>
          <w:noProof/>
        </w:rPr>
        <w:t>4.1</w:t>
      </w:r>
      <w:r>
        <w:rPr>
          <w:rFonts w:eastAsiaTheme="minorEastAsia" w:hint="eastAsia"/>
          <w:smallCaps w:val="0"/>
          <w:noProof/>
          <w:kern w:val="2"/>
          <w:sz w:val="21"/>
          <w:szCs w:val="22"/>
        </w:rPr>
        <w:tab/>
      </w:r>
      <w:r>
        <w:rPr>
          <w:rFonts w:hint="eastAsia"/>
          <w:noProof/>
        </w:rPr>
        <w:t>PRRSV</w:t>
      </w:r>
      <w:r>
        <w:rPr>
          <w:rFonts w:hint="eastAsia"/>
          <w:noProof/>
        </w:rPr>
        <w:t>感染对猪</w:t>
      </w:r>
      <w:r>
        <w:rPr>
          <w:rFonts w:hint="eastAsia"/>
          <w:noProof/>
        </w:rPr>
        <w:t>Th1</w:t>
      </w:r>
      <w:r>
        <w:rPr>
          <w:rFonts w:hint="eastAsia"/>
          <w:noProof/>
        </w:rPr>
        <w:t>型、</w:t>
      </w:r>
      <w:r>
        <w:rPr>
          <w:rFonts w:hint="eastAsia"/>
          <w:noProof/>
        </w:rPr>
        <w:t>Th2</w:t>
      </w:r>
      <w:r>
        <w:rPr>
          <w:rFonts w:hint="eastAsia"/>
          <w:noProof/>
        </w:rPr>
        <w:t>型及凋亡细胞因子</w:t>
      </w:r>
      <w:r>
        <w:rPr>
          <w:rFonts w:hint="eastAsia"/>
          <w:noProof/>
        </w:rPr>
        <w:t>mRNA</w:t>
      </w:r>
      <w:r>
        <w:rPr>
          <w:rFonts w:hint="eastAsia"/>
          <w:noProof/>
        </w:rPr>
        <w:t>表达水平的影响研究</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_Toc405816280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64</w:t>
      </w:r>
      <w:r w:rsidR="00DC7417">
        <w:rPr>
          <w:rFonts w:hint="eastAsia"/>
          <w:noProof/>
        </w:rPr>
        <w:fldChar w:fldCharType="end"/>
      </w:r>
    </w:p>
    <w:p w:rsidR="00EC0434" w:rsidRDefault="00EC0434">
      <w:pPr>
        <w:pStyle w:val="20"/>
        <w:tabs>
          <w:tab w:val="left" w:pos="880"/>
          <w:tab w:val="right" w:leader="dot" w:pos="8296"/>
        </w:tabs>
        <w:rPr>
          <w:rFonts w:eastAsiaTheme="minorEastAsia"/>
          <w:smallCaps w:val="0"/>
          <w:noProof/>
          <w:kern w:val="2"/>
          <w:sz w:val="21"/>
          <w:szCs w:val="22"/>
        </w:rPr>
      </w:pPr>
      <w:r>
        <w:rPr>
          <w:rFonts w:hint="eastAsia"/>
          <w:noProof/>
        </w:rPr>
        <w:t>4.2</w:t>
      </w:r>
      <w:r>
        <w:rPr>
          <w:rFonts w:eastAsiaTheme="minorEastAsia" w:hint="eastAsia"/>
          <w:smallCaps w:val="0"/>
          <w:noProof/>
          <w:kern w:val="2"/>
          <w:sz w:val="21"/>
          <w:szCs w:val="22"/>
        </w:rPr>
        <w:tab/>
      </w:r>
      <w:r>
        <w:rPr>
          <w:rFonts w:hint="eastAsia"/>
          <w:noProof/>
        </w:rPr>
        <w:t>PRRSV</w:t>
      </w:r>
      <w:r>
        <w:rPr>
          <w:rFonts w:hint="eastAsia"/>
          <w:noProof/>
        </w:rPr>
        <w:t>不同疫苗种类及毒株对免疫抗体效价的监测评估</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_Toc405816281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74</w:t>
      </w:r>
      <w:r w:rsidR="00DC7417">
        <w:rPr>
          <w:rFonts w:hint="eastAsia"/>
          <w:noProof/>
        </w:rPr>
        <w:fldChar w:fldCharType="end"/>
      </w:r>
    </w:p>
    <w:p w:rsidR="00EC0434" w:rsidRDefault="00EC0434">
      <w:pPr>
        <w:pStyle w:val="20"/>
        <w:tabs>
          <w:tab w:val="left" w:pos="880"/>
          <w:tab w:val="right" w:leader="dot" w:pos="8296"/>
        </w:tabs>
        <w:rPr>
          <w:rFonts w:eastAsiaTheme="minorEastAsia"/>
          <w:smallCaps w:val="0"/>
          <w:noProof/>
          <w:kern w:val="2"/>
          <w:sz w:val="21"/>
          <w:szCs w:val="22"/>
        </w:rPr>
      </w:pPr>
      <w:r>
        <w:rPr>
          <w:rFonts w:hint="eastAsia"/>
          <w:noProof/>
        </w:rPr>
        <w:t>4.3</w:t>
      </w:r>
      <w:r>
        <w:rPr>
          <w:rFonts w:eastAsiaTheme="minorEastAsia" w:hint="eastAsia"/>
          <w:smallCaps w:val="0"/>
          <w:noProof/>
          <w:kern w:val="2"/>
          <w:sz w:val="21"/>
          <w:szCs w:val="22"/>
        </w:rPr>
        <w:tab/>
      </w:r>
      <w:r>
        <w:rPr>
          <w:rFonts w:hint="eastAsia"/>
          <w:noProof/>
        </w:rPr>
        <w:t>猪蓝耳病、猪口蹄疫、猪瘟疫苗不同免疫方法对免疫抗体效价的影响</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_Toc405816282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83</w:t>
      </w:r>
      <w:r w:rsidR="00DC7417">
        <w:rPr>
          <w:rFonts w:hint="eastAsia"/>
          <w:noProof/>
        </w:rPr>
        <w:fldChar w:fldCharType="end"/>
      </w:r>
    </w:p>
    <w:p w:rsidR="00EC0434" w:rsidRDefault="00EC0434">
      <w:pPr>
        <w:pStyle w:val="10"/>
        <w:tabs>
          <w:tab w:val="left" w:pos="440"/>
          <w:tab w:val="right" w:leader="dot" w:pos="8296"/>
        </w:tabs>
        <w:rPr>
          <w:rFonts w:eastAsiaTheme="minorEastAsia"/>
          <w:b w:val="0"/>
          <w:bCs w:val="0"/>
          <w:caps w:val="0"/>
          <w:noProof/>
          <w:kern w:val="2"/>
          <w:sz w:val="21"/>
          <w:szCs w:val="22"/>
        </w:rPr>
      </w:pPr>
      <w:r>
        <w:rPr>
          <w:rFonts w:hint="eastAsia"/>
          <w:noProof/>
        </w:rPr>
        <w:t>5</w:t>
      </w:r>
      <w:r>
        <w:rPr>
          <w:rFonts w:eastAsiaTheme="minorEastAsia" w:hint="eastAsia"/>
          <w:b w:val="0"/>
          <w:bCs w:val="0"/>
          <w:caps w:val="0"/>
          <w:noProof/>
          <w:kern w:val="2"/>
          <w:sz w:val="21"/>
          <w:szCs w:val="22"/>
        </w:rPr>
        <w:tab/>
      </w:r>
      <w:r>
        <w:rPr>
          <w:rFonts w:hint="eastAsia"/>
          <w:noProof/>
        </w:rPr>
        <w:t>HP-PRRS</w:t>
      </w:r>
      <w:r>
        <w:rPr>
          <w:rFonts w:hint="eastAsia"/>
          <w:noProof/>
        </w:rPr>
        <w:t>防控与效果评估</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_Toc405816283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89</w:t>
      </w:r>
      <w:r w:rsidR="00DC7417">
        <w:rPr>
          <w:rFonts w:hint="eastAsia"/>
          <w:noProof/>
        </w:rPr>
        <w:fldChar w:fldCharType="end"/>
      </w:r>
    </w:p>
    <w:p w:rsidR="00EC0434" w:rsidRDefault="00EC0434">
      <w:pPr>
        <w:pStyle w:val="20"/>
        <w:tabs>
          <w:tab w:val="left" w:pos="880"/>
          <w:tab w:val="right" w:leader="dot" w:pos="8296"/>
        </w:tabs>
        <w:rPr>
          <w:rFonts w:eastAsiaTheme="minorEastAsia"/>
          <w:smallCaps w:val="0"/>
          <w:noProof/>
          <w:kern w:val="2"/>
          <w:sz w:val="21"/>
          <w:szCs w:val="22"/>
        </w:rPr>
      </w:pPr>
      <w:r>
        <w:rPr>
          <w:rFonts w:hint="eastAsia"/>
          <w:noProof/>
        </w:rPr>
        <w:t>5.1</w:t>
      </w:r>
      <w:r>
        <w:rPr>
          <w:rFonts w:eastAsiaTheme="minorEastAsia" w:hint="eastAsia"/>
          <w:smallCaps w:val="0"/>
          <w:noProof/>
          <w:kern w:val="2"/>
          <w:sz w:val="21"/>
          <w:szCs w:val="22"/>
        </w:rPr>
        <w:tab/>
      </w:r>
      <w:r>
        <w:rPr>
          <w:rFonts w:hint="eastAsia"/>
          <w:noProof/>
        </w:rPr>
        <w:t>HP-PRRS</w:t>
      </w:r>
      <w:r>
        <w:rPr>
          <w:rFonts w:hint="eastAsia"/>
          <w:noProof/>
        </w:rPr>
        <w:t>综合防控措施的制定和实施</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_Toc405816284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89</w:t>
      </w:r>
      <w:r w:rsidR="00DC7417">
        <w:rPr>
          <w:rFonts w:hint="eastAsia"/>
          <w:noProof/>
        </w:rPr>
        <w:fldChar w:fldCharType="end"/>
      </w:r>
    </w:p>
    <w:p w:rsidR="00EC0434" w:rsidRDefault="00EC0434">
      <w:pPr>
        <w:pStyle w:val="20"/>
        <w:tabs>
          <w:tab w:val="left" w:pos="880"/>
          <w:tab w:val="right" w:leader="dot" w:pos="8296"/>
        </w:tabs>
        <w:rPr>
          <w:rFonts w:eastAsiaTheme="minorEastAsia"/>
          <w:smallCaps w:val="0"/>
          <w:noProof/>
          <w:kern w:val="2"/>
          <w:sz w:val="21"/>
          <w:szCs w:val="22"/>
        </w:rPr>
      </w:pPr>
      <w:r>
        <w:rPr>
          <w:rFonts w:hint="eastAsia"/>
          <w:noProof/>
        </w:rPr>
        <w:t>5.2</w:t>
      </w:r>
      <w:r>
        <w:rPr>
          <w:rFonts w:eastAsiaTheme="minorEastAsia" w:hint="eastAsia"/>
          <w:smallCaps w:val="0"/>
          <w:noProof/>
          <w:kern w:val="2"/>
          <w:sz w:val="21"/>
          <w:szCs w:val="22"/>
        </w:rPr>
        <w:tab/>
      </w:r>
      <w:r>
        <w:rPr>
          <w:rFonts w:hint="eastAsia"/>
          <w:noProof/>
        </w:rPr>
        <w:t>猪蓝耳病疫苗种类及毒株的正确选择</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_Toc405816285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89</w:t>
      </w:r>
      <w:r w:rsidR="00DC7417">
        <w:rPr>
          <w:rFonts w:hint="eastAsia"/>
          <w:noProof/>
        </w:rPr>
        <w:fldChar w:fldCharType="end"/>
      </w:r>
    </w:p>
    <w:p w:rsidR="00EC0434" w:rsidRDefault="00EC0434">
      <w:pPr>
        <w:pStyle w:val="20"/>
        <w:tabs>
          <w:tab w:val="left" w:pos="880"/>
          <w:tab w:val="right" w:leader="dot" w:pos="8296"/>
        </w:tabs>
        <w:rPr>
          <w:rFonts w:eastAsiaTheme="minorEastAsia"/>
          <w:smallCaps w:val="0"/>
          <w:noProof/>
          <w:kern w:val="2"/>
          <w:sz w:val="21"/>
          <w:szCs w:val="22"/>
        </w:rPr>
      </w:pPr>
      <w:r>
        <w:rPr>
          <w:rFonts w:hint="eastAsia"/>
          <w:noProof/>
        </w:rPr>
        <w:t>5.3</w:t>
      </w:r>
      <w:r>
        <w:rPr>
          <w:rFonts w:eastAsiaTheme="minorEastAsia" w:hint="eastAsia"/>
          <w:smallCaps w:val="0"/>
          <w:noProof/>
          <w:kern w:val="2"/>
          <w:sz w:val="21"/>
          <w:szCs w:val="22"/>
        </w:rPr>
        <w:tab/>
      </w:r>
      <w:r>
        <w:rPr>
          <w:rFonts w:hint="eastAsia"/>
          <w:noProof/>
        </w:rPr>
        <w:t>自治区、市、县、乡、村兽医人员技术培训及指导</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_Toc405816286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91</w:t>
      </w:r>
      <w:r w:rsidR="00DC7417">
        <w:rPr>
          <w:rFonts w:hint="eastAsia"/>
          <w:noProof/>
        </w:rPr>
        <w:fldChar w:fldCharType="end"/>
      </w:r>
    </w:p>
    <w:p w:rsidR="00EC0434" w:rsidRDefault="00EC0434">
      <w:pPr>
        <w:pStyle w:val="20"/>
        <w:tabs>
          <w:tab w:val="left" w:pos="880"/>
          <w:tab w:val="right" w:leader="dot" w:pos="8296"/>
        </w:tabs>
        <w:rPr>
          <w:rFonts w:eastAsiaTheme="minorEastAsia"/>
          <w:smallCaps w:val="0"/>
          <w:noProof/>
          <w:kern w:val="2"/>
          <w:sz w:val="21"/>
          <w:szCs w:val="22"/>
        </w:rPr>
      </w:pPr>
      <w:r>
        <w:rPr>
          <w:rFonts w:hint="eastAsia"/>
          <w:noProof/>
        </w:rPr>
        <w:t>5.4</w:t>
      </w:r>
      <w:r>
        <w:rPr>
          <w:rFonts w:eastAsiaTheme="minorEastAsia" w:hint="eastAsia"/>
          <w:smallCaps w:val="0"/>
          <w:noProof/>
          <w:kern w:val="2"/>
          <w:sz w:val="21"/>
          <w:szCs w:val="22"/>
        </w:rPr>
        <w:tab/>
      </w:r>
      <w:r>
        <w:rPr>
          <w:rFonts w:hint="eastAsia"/>
          <w:noProof/>
        </w:rPr>
        <w:t>实验室检测能力及疫情信息系统的建设与运行的强化</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_Toc405816287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92</w:t>
      </w:r>
      <w:r w:rsidR="00DC7417">
        <w:rPr>
          <w:rFonts w:hint="eastAsia"/>
          <w:noProof/>
        </w:rPr>
        <w:fldChar w:fldCharType="end"/>
      </w:r>
    </w:p>
    <w:p w:rsidR="00EC0434" w:rsidRDefault="00EC0434">
      <w:pPr>
        <w:pStyle w:val="20"/>
        <w:tabs>
          <w:tab w:val="left" w:pos="880"/>
          <w:tab w:val="right" w:leader="dot" w:pos="8296"/>
        </w:tabs>
        <w:rPr>
          <w:rFonts w:eastAsiaTheme="minorEastAsia"/>
          <w:smallCaps w:val="0"/>
          <w:noProof/>
          <w:kern w:val="2"/>
          <w:sz w:val="21"/>
          <w:szCs w:val="22"/>
        </w:rPr>
      </w:pPr>
      <w:r>
        <w:rPr>
          <w:rFonts w:hint="eastAsia"/>
          <w:noProof/>
        </w:rPr>
        <w:t>5.5</w:t>
      </w:r>
      <w:r>
        <w:rPr>
          <w:rFonts w:eastAsiaTheme="minorEastAsia" w:hint="eastAsia"/>
          <w:smallCaps w:val="0"/>
          <w:noProof/>
          <w:kern w:val="2"/>
          <w:sz w:val="21"/>
          <w:szCs w:val="22"/>
        </w:rPr>
        <w:tab/>
      </w:r>
      <w:r>
        <w:rPr>
          <w:rFonts w:hint="eastAsia"/>
          <w:noProof/>
        </w:rPr>
        <w:t>PRRSV</w:t>
      </w:r>
      <w:r>
        <w:rPr>
          <w:rFonts w:hint="eastAsia"/>
          <w:noProof/>
        </w:rPr>
        <w:t>抗体监测与评估</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_Toc405816288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94</w:t>
      </w:r>
      <w:r w:rsidR="00DC7417">
        <w:rPr>
          <w:rFonts w:hint="eastAsia"/>
          <w:noProof/>
        </w:rPr>
        <w:fldChar w:fldCharType="end"/>
      </w:r>
    </w:p>
    <w:p w:rsidR="00EC0434" w:rsidRDefault="00EC0434">
      <w:pPr>
        <w:pStyle w:val="20"/>
        <w:tabs>
          <w:tab w:val="left" w:pos="880"/>
          <w:tab w:val="right" w:leader="dot" w:pos="8296"/>
        </w:tabs>
        <w:rPr>
          <w:rFonts w:eastAsiaTheme="minorEastAsia"/>
          <w:smallCaps w:val="0"/>
          <w:noProof/>
          <w:kern w:val="2"/>
          <w:sz w:val="21"/>
          <w:szCs w:val="22"/>
        </w:rPr>
      </w:pPr>
      <w:r>
        <w:rPr>
          <w:rFonts w:hint="eastAsia"/>
          <w:noProof/>
        </w:rPr>
        <w:t>5.6</w:t>
      </w:r>
      <w:r>
        <w:rPr>
          <w:rFonts w:eastAsiaTheme="minorEastAsia" w:hint="eastAsia"/>
          <w:smallCaps w:val="0"/>
          <w:noProof/>
          <w:kern w:val="2"/>
          <w:sz w:val="21"/>
          <w:szCs w:val="22"/>
        </w:rPr>
        <w:tab/>
      </w:r>
      <w:r>
        <w:rPr>
          <w:rFonts w:hint="eastAsia"/>
          <w:noProof/>
        </w:rPr>
        <w:t>PRRSV</w:t>
      </w:r>
      <w:r>
        <w:rPr>
          <w:rFonts w:hint="eastAsia"/>
          <w:noProof/>
        </w:rPr>
        <w:t>病原监测与评估</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_Toc405816289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96</w:t>
      </w:r>
      <w:r w:rsidR="00DC7417">
        <w:rPr>
          <w:rFonts w:hint="eastAsia"/>
          <w:noProof/>
        </w:rPr>
        <w:fldChar w:fldCharType="end"/>
      </w:r>
    </w:p>
    <w:p w:rsidR="00EC0434" w:rsidRDefault="00EC0434">
      <w:pPr>
        <w:pStyle w:val="20"/>
        <w:tabs>
          <w:tab w:val="left" w:pos="880"/>
          <w:tab w:val="right" w:leader="dot" w:pos="8296"/>
        </w:tabs>
        <w:rPr>
          <w:rFonts w:eastAsiaTheme="minorEastAsia"/>
          <w:smallCaps w:val="0"/>
          <w:noProof/>
          <w:kern w:val="2"/>
          <w:sz w:val="21"/>
          <w:szCs w:val="22"/>
        </w:rPr>
      </w:pPr>
      <w:r>
        <w:rPr>
          <w:rFonts w:hint="eastAsia"/>
          <w:noProof/>
        </w:rPr>
        <w:t>5.7</w:t>
      </w:r>
      <w:r>
        <w:rPr>
          <w:rFonts w:eastAsiaTheme="minorEastAsia" w:hint="eastAsia"/>
          <w:smallCaps w:val="0"/>
          <w:noProof/>
          <w:kern w:val="2"/>
          <w:sz w:val="21"/>
          <w:szCs w:val="22"/>
        </w:rPr>
        <w:tab/>
      </w:r>
      <w:r>
        <w:rPr>
          <w:rFonts w:hint="eastAsia"/>
          <w:noProof/>
        </w:rPr>
        <w:t>猪蓝耳病临床流行病学调查与评估</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_Toc405816290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98</w:t>
      </w:r>
      <w:r w:rsidR="00DC7417">
        <w:rPr>
          <w:rFonts w:hint="eastAsia"/>
          <w:noProof/>
        </w:rPr>
        <w:fldChar w:fldCharType="end"/>
      </w:r>
    </w:p>
    <w:p w:rsidR="00EC0434" w:rsidRDefault="00EC0434">
      <w:pPr>
        <w:pStyle w:val="10"/>
        <w:tabs>
          <w:tab w:val="left" w:pos="440"/>
          <w:tab w:val="right" w:leader="dot" w:pos="8296"/>
        </w:tabs>
        <w:rPr>
          <w:rFonts w:eastAsiaTheme="minorEastAsia"/>
          <w:b w:val="0"/>
          <w:bCs w:val="0"/>
          <w:caps w:val="0"/>
          <w:noProof/>
          <w:kern w:val="2"/>
          <w:sz w:val="21"/>
          <w:szCs w:val="22"/>
        </w:rPr>
      </w:pPr>
      <w:r>
        <w:rPr>
          <w:rFonts w:hint="eastAsia"/>
          <w:noProof/>
        </w:rPr>
        <w:t>6</w:t>
      </w:r>
      <w:r>
        <w:rPr>
          <w:rFonts w:eastAsiaTheme="minorEastAsia" w:hint="eastAsia"/>
          <w:b w:val="0"/>
          <w:bCs w:val="0"/>
          <w:caps w:val="0"/>
          <w:noProof/>
          <w:kern w:val="2"/>
          <w:sz w:val="21"/>
          <w:szCs w:val="22"/>
        </w:rPr>
        <w:tab/>
      </w:r>
      <w:r>
        <w:rPr>
          <w:rFonts w:hint="eastAsia"/>
          <w:noProof/>
        </w:rPr>
        <w:t>结论</w:t>
      </w:r>
      <w:r>
        <w:rPr>
          <w:rFonts w:hint="eastAsia"/>
          <w:noProof/>
        </w:rPr>
        <w:tab/>
      </w:r>
      <w:r w:rsidR="00DC7417">
        <w:rPr>
          <w:rFonts w:hint="eastAsia"/>
          <w:noProof/>
        </w:rPr>
        <w:fldChar w:fldCharType="begin"/>
      </w:r>
      <w:r>
        <w:rPr>
          <w:rFonts w:hint="eastAsia"/>
          <w:noProof/>
        </w:rPr>
        <w:instrText xml:space="preserve"> </w:instrText>
      </w:r>
      <w:r>
        <w:rPr>
          <w:noProof/>
        </w:rPr>
        <w:instrText>PAGEREF _Toc405816291 \h</w:instrText>
      </w:r>
      <w:r>
        <w:rPr>
          <w:rFonts w:hint="eastAsia"/>
          <w:noProof/>
        </w:rPr>
        <w:instrText xml:space="preserve"> </w:instrText>
      </w:r>
      <w:r w:rsidR="00DC7417">
        <w:rPr>
          <w:rFonts w:hint="eastAsia"/>
          <w:noProof/>
        </w:rPr>
      </w:r>
      <w:r w:rsidR="00DC7417">
        <w:rPr>
          <w:rFonts w:hint="eastAsia"/>
          <w:noProof/>
        </w:rPr>
        <w:fldChar w:fldCharType="separate"/>
      </w:r>
      <w:r w:rsidR="00776808">
        <w:rPr>
          <w:noProof/>
        </w:rPr>
        <w:t>102</w:t>
      </w:r>
      <w:r w:rsidR="00DC7417">
        <w:rPr>
          <w:rFonts w:hint="eastAsia"/>
          <w:noProof/>
        </w:rPr>
        <w:fldChar w:fldCharType="end"/>
      </w:r>
    </w:p>
    <w:p w:rsidR="005B4D1E" w:rsidRDefault="00DC7417" w:rsidP="009D14A5">
      <w:pPr>
        <w:spacing w:line="360" w:lineRule="auto"/>
        <w:jc w:val="center"/>
        <w:rPr>
          <w:b/>
          <w:bCs/>
          <w:sz w:val="30"/>
          <w:szCs w:val="30"/>
        </w:rPr>
      </w:pPr>
      <w:r>
        <w:rPr>
          <w:b/>
          <w:bCs/>
          <w:sz w:val="30"/>
          <w:szCs w:val="30"/>
        </w:rPr>
        <w:fldChar w:fldCharType="end"/>
      </w:r>
    </w:p>
    <w:p w:rsidR="005B4D1E" w:rsidRDefault="005B4D1E" w:rsidP="009D14A5">
      <w:pPr>
        <w:spacing w:line="360" w:lineRule="auto"/>
        <w:jc w:val="center"/>
        <w:rPr>
          <w:b/>
          <w:bCs/>
          <w:sz w:val="30"/>
          <w:szCs w:val="30"/>
        </w:rPr>
      </w:pPr>
    </w:p>
    <w:p w:rsidR="005B4D1E" w:rsidRDefault="005B4D1E" w:rsidP="009D14A5">
      <w:pPr>
        <w:spacing w:line="360" w:lineRule="auto"/>
        <w:jc w:val="center"/>
        <w:rPr>
          <w:b/>
          <w:bCs/>
          <w:sz w:val="30"/>
          <w:szCs w:val="30"/>
        </w:rPr>
      </w:pPr>
    </w:p>
    <w:p w:rsidR="005B4D1E" w:rsidRPr="00EC0434" w:rsidRDefault="00EC0434" w:rsidP="009D14A5">
      <w:pPr>
        <w:spacing w:line="360" w:lineRule="auto"/>
        <w:jc w:val="center"/>
        <w:rPr>
          <w:rFonts w:ascii="宋体" w:eastAsia="宋体" w:hAnsi="宋体"/>
          <w:b/>
          <w:bCs/>
          <w:sz w:val="32"/>
          <w:szCs w:val="32"/>
        </w:rPr>
      </w:pPr>
      <w:r w:rsidRPr="00EC0434">
        <w:rPr>
          <w:rFonts w:ascii="宋体" w:eastAsia="宋体" w:hAnsi="宋体" w:hint="eastAsia"/>
          <w:b/>
          <w:bCs/>
          <w:sz w:val="32"/>
          <w:szCs w:val="32"/>
        </w:rPr>
        <w:lastRenderedPageBreak/>
        <w:t>插图清单</w:t>
      </w:r>
    </w:p>
    <w:p w:rsidR="00EC0434" w:rsidRPr="00EC0434" w:rsidRDefault="00DC7417" w:rsidP="00EC0434">
      <w:pPr>
        <w:pStyle w:val="ab"/>
        <w:tabs>
          <w:tab w:val="right" w:leader="dot" w:pos="8296"/>
        </w:tabs>
        <w:ind w:left="862" w:hanging="422"/>
        <w:rPr>
          <w:rFonts w:ascii="宋体" w:eastAsia="宋体" w:hAnsi="宋体"/>
          <w:noProof/>
          <w:sz w:val="21"/>
          <w:szCs w:val="21"/>
        </w:rPr>
      </w:pPr>
      <w:r w:rsidRPr="00EC0434">
        <w:rPr>
          <w:rFonts w:ascii="宋体" w:eastAsia="宋体" w:hAnsi="宋体"/>
          <w:b/>
          <w:bCs/>
          <w:sz w:val="21"/>
          <w:szCs w:val="21"/>
        </w:rPr>
        <w:fldChar w:fldCharType="begin"/>
      </w:r>
      <w:r w:rsidR="00EC0434" w:rsidRPr="00EC0434">
        <w:rPr>
          <w:rFonts w:ascii="宋体" w:eastAsia="宋体" w:hAnsi="宋体"/>
          <w:b/>
          <w:bCs/>
          <w:sz w:val="21"/>
          <w:szCs w:val="21"/>
        </w:rPr>
        <w:instrText xml:space="preserve"> </w:instrText>
      </w:r>
      <w:r w:rsidR="00EC0434" w:rsidRPr="00EC0434">
        <w:rPr>
          <w:rFonts w:ascii="宋体" w:eastAsia="宋体" w:hAnsi="宋体" w:hint="eastAsia"/>
          <w:b/>
          <w:bCs/>
          <w:sz w:val="21"/>
          <w:szCs w:val="21"/>
        </w:rPr>
        <w:instrText>TOC \t "图题注" \c</w:instrText>
      </w:r>
      <w:r w:rsidR="00EC0434" w:rsidRPr="00EC0434">
        <w:rPr>
          <w:rFonts w:ascii="宋体" w:eastAsia="宋体" w:hAnsi="宋体"/>
          <w:b/>
          <w:bCs/>
          <w:sz w:val="21"/>
          <w:szCs w:val="21"/>
        </w:rPr>
        <w:instrText xml:space="preserve"> </w:instrText>
      </w:r>
      <w:r w:rsidRPr="00EC0434">
        <w:rPr>
          <w:rFonts w:ascii="宋体" w:eastAsia="宋体" w:hAnsi="宋体"/>
          <w:b/>
          <w:bCs/>
          <w:sz w:val="21"/>
          <w:szCs w:val="21"/>
        </w:rPr>
        <w:fldChar w:fldCharType="separate"/>
      </w:r>
      <w:r w:rsidR="00EC0434" w:rsidRPr="00EC0434">
        <w:rPr>
          <w:rFonts w:ascii="宋体" w:eastAsia="宋体" w:hAnsi="宋体" w:hint="eastAsia"/>
          <w:noProof/>
          <w:sz w:val="21"/>
          <w:szCs w:val="21"/>
        </w:rPr>
        <w:t>图1 重组质粒鉴定</w:t>
      </w:r>
      <w:r w:rsidR="00EC0434" w:rsidRPr="00EC0434">
        <w:rPr>
          <w:rFonts w:ascii="宋体" w:eastAsia="宋体" w:hAnsi="宋体" w:hint="eastAsia"/>
          <w:noProof/>
          <w:sz w:val="21"/>
          <w:szCs w:val="21"/>
        </w:rPr>
        <w:tab/>
      </w:r>
      <w:r w:rsidRPr="00EC0434">
        <w:rPr>
          <w:rFonts w:ascii="宋体" w:eastAsia="宋体" w:hAnsi="宋体" w:hint="eastAsia"/>
          <w:noProof/>
          <w:sz w:val="21"/>
          <w:szCs w:val="21"/>
        </w:rPr>
        <w:fldChar w:fldCharType="begin"/>
      </w:r>
      <w:r w:rsidR="00EC0434" w:rsidRPr="00EC0434">
        <w:rPr>
          <w:rFonts w:ascii="宋体" w:eastAsia="宋体" w:hAnsi="宋体" w:hint="eastAsia"/>
          <w:noProof/>
          <w:sz w:val="21"/>
          <w:szCs w:val="21"/>
        </w:rPr>
        <w:instrText xml:space="preserve"> </w:instrText>
      </w:r>
      <w:r w:rsidR="00EC0434" w:rsidRPr="00EC0434">
        <w:rPr>
          <w:rFonts w:ascii="宋体" w:eastAsia="宋体" w:hAnsi="宋体"/>
          <w:noProof/>
          <w:sz w:val="21"/>
          <w:szCs w:val="21"/>
        </w:rPr>
        <w:instrText>PAGEREF _Toc405816305 \h</w:instrText>
      </w:r>
      <w:r w:rsidR="00EC0434" w:rsidRPr="00EC0434">
        <w:rPr>
          <w:rFonts w:ascii="宋体" w:eastAsia="宋体" w:hAnsi="宋体" w:hint="eastAsia"/>
          <w:noProof/>
          <w:sz w:val="21"/>
          <w:szCs w:val="21"/>
        </w:rPr>
        <w:instrText xml:space="preserve"> </w:instrText>
      </w:r>
      <w:r w:rsidRPr="00EC0434">
        <w:rPr>
          <w:rFonts w:ascii="宋体" w:eastAsia="宋体" w:hAnsi="宋体" w:hint="eastAsia"/>
          <w:noProof/>
          <w:sz w:val="21"/>
          <w:szCs w:val="21"/>
        </w:rPr>
      </w:r>
      <w:r w:rsidRPr="00EC0434">
        <w:rPr>
          <w:rFonts w:ascii="宋体" w:eastAsia="宋体" w:hAnsi="宋体" w:hint="eastAsia"/>
          <w:noProof/>
          <w:sz w:val="21"/>
          <w:szCs w:val="21"/>
        </w:rPr>
        <w:fldChar w:fldCharType="separate"/>
      </w:r>
      <w:r w:rsidR="00F84C39">
        <w:rPr>
          <w:rFonts w:ascii="宋体" w:eastAsia="宋体" w:hAnsi="宋体"/>
          <w:noProof/>
          <w:sz w:val="21"/>
          <w:szCs w:val="21"/>
        </w:rPr>
        <w:t>12</w:t>
      </w:r>
      <w:r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图2 退火温度的优化</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_Toc405816306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13</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图3 引物浓度的优化</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_Toc405816307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13</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图4 多重PCR的特异性试验</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_Toc405816308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14</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图5 单重PCR(A)和多重PCR的敏感性试验</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_Toc405816309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15</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图6 多重PCR的重复性试验</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_Toc405816310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15</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图7 部分临床阳性样品的检测结果</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_Toc405816311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16</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图8 重组质粒鉴定</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_Toc405816312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17</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图9 退火温度的选择</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_Toc405816313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18</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图10 引物浓度的选择</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_Toc405816314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18</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图11 聚合酶浓度的选择</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_Toc405816315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19</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图12 循环数的选择</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_Toc405816316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19</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图13 多重PCR的特异性试验</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_Toc405816317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20</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图14 单重PCR (A)及多重PCR (B)的敏感性试验</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_Toc405816318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21</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图15 多重PCR的重复性试验</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_Toc405816319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21</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图16 部分临床样品的检测结果</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_Toc405816320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22</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图17 重组质粒的鉴定</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_Toc405816321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23</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图18 多重TaqMan real-time PCR标准曲线</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_Toc405816322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25</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图19 多重TaqMan real-time PCR敏感性试验的扩增曲线</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_Toc405816323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25</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图20 普通PCR的敏感性试验</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_Toc405816324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26</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图21 多重TaqMan real-time PCR特异性试验扩增曲线</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_Toc405816325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26</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图22 临床病料组织PRRSV检测结果</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_Toc405816326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30</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图23 基于ORF5（A）和ORF7（B）基因核苷酸序列的遗传进化树</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_Toc405816327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33</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图24 临床病料组织中PRRSV的RT-PCR检测</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_Toc405816328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36</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图25 包含PRRSV变异株和传统株Nsp2-1(A)、变异株Nsp2-2(B)以及传统株Nsp2-2(C)目的片段质粒的鉴定</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_Toc405816329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36</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图26 基于Nsp2基因核苷酸序列的遗传进化树</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_Toc405816330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39</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图27 PRRSV的分离鉴定</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_Toc405816331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41</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lastRenderedPageBreak/>
        <w:t>图28 PRRSV广西分离株的RT-PCR鉴定</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_Toc405816332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41</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图29 PRRSV分离株的IFA鉴定</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_Toc405816333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42</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图30 GX1001株基因组RT-PCR分段扩增结果(A：GX1001株；B：GX1002株；C：GX1003株)</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_Toc405816334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44</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图31 基于病毒全基因组核苷酸序列的遗传进化树</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_Toc405816335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53</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图32 四个猪场PRRSV抗体监测结果(A：阳性率；B：S/P值的均值)</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_Toc405816336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55</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图33 基于Nsp2(A)、ORF5(B)、ORF6(C)、ORF7(D)基因核苷酸序列的遗传进化树</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_Toc405816337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59</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图34 Thl(A)型、Th2(B)型、凋亡(C)细胞因子及</w:t>
      </w:r>
      <w:r w:rsidRPr="00EC0434">
        <w:rPr>
          <w:rFonts w:ascii="宋体" w:eastAsia="宋体" w:hAnsi="宋体" w:cs="Arial" w:hint="eastAsia"/>
          <w:noProof/>
          <w:sz w:val="21"/>
          <w:szCs w:val="21"/>
        </w:rPr>
        <w:t>β</w:t>
      </w:r>
      <w:r w:rsidRPr="00EC0434">
        <w:rPr>
          <w:rFonts w:ascii="宋体" w:eastAsia="宋体" w:hAnsi="宋体" w:hint="eastAsia"/>
          <w:noProof/>
          <w:sz w:val="21"/>
          <w:szCs w:val="21"/>
        </w:rPr>
        <w:t>-actin基因的重组质粒鉴定</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_Toc405816338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65</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图35 Th1型细胞因子SYBR Green I real-time PCR扩增曲线(A)、标准曲线(B)及熔解曲线(C)</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_Toc405816339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66</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图36 Th2型细胞因子SYBR Green I real-time PCR扩增曲线(A)、标准曲线(B)及熔解曲线(C)</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_Toc405816340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67</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图37 凋亡细胞因子SYBR Green I real-time PCR扩增曲线(A)、标准曲线(B)及熔解曲线(C)</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_Toc405816341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68</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图38 SYBR Green I real-time PCR的琼脂糖凝胶电泳分析</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_Toc405816342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69</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图39 感染仔猪血清病毒载量(A)及抗体效价(B)</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_Toc405816343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71</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图40 感染仔猪PBMC病毒载量(A)及凋亡比率(B)</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_Toc405816344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71</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图41 PRRSV感染猪PBMC中IL-2、IL-12p40、IFN-γ mRNA的表达动态</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_Toc405816345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72</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图42 PRRSV感染猪PBMC中IL-4、IL-6、IL-10mRNA的表达动态</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_Toc405816346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73</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图43 PRRSV感染猪PBMC中Fas、FasL、TNFR1、TNF-</w:t>
      </w:r>
      <w:r w:rsidRPr="00EC0434">
        <w:rPr>
          <w:rFonts w:ascii="宋体" w:eastAsia="宋体" w:hAnsi="宋体" w:cs="Arial" w:hint="eastAsia"/>
          <w:noProof/>
          <w:sz w:val="21"/>
          <w:szCs w:val="21"/>
        </w:rPr>
        <w:t>α</w:t>
      </w:r>
      <w:r w:rsidRPr="00EC0434">
        <w:rPr>
          <w:rFonts w:ascii="宋体" w:eastAsia="宋体" w:hAnsi="宋体" w:hint="eastAsia"/>
          <w:noProof/>
          <w:sz w:val="21"/>
          <w:szCs w:val="21"/>
        </w:rPr>
        <w:t xml:space="preserve"> mRNA的表达动态</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_Toc405816347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73</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图44 2007-2012年疫苗免疫猪群PRRSV抗体监测结果</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_Toc405816348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79</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图45 2007年不同日龄阶段猪群PRRSV抗体阳性率(A)及S/P均值(B)、个体值(C)</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_Toc405816349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81</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图46 2008年不同日龄阶段猪群PRRSV抗体阳性率(A)及S/P均值(B)、个体值(C)</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_Toc405816350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81</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图47 2009年不同日龄阶段猪群PRRSV抗体阳性率(A)及S/P均值(B)、个体值(C)</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_Toc405816351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82</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图48 2010年不同日龄阶段猪群PRRSV抗体阳性率(A)及S/P均值(B)、个体值(C)</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_Toc405816352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82</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图49 2011年不同日龄阶段猪群PRRSV抗体阳性率(A)及S/P均值(B)、个体值(C)</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_Toc405816353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83</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图50 2012年不同日龄阶段猪群PRRSV抗体阳性率(A)及S/P均值(B)、个体值(C)</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_Toc405816354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83</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图51 各试验组免疫后CSFV抗体(A)、FMDV抗体(B)及PRRSV抗体(C)检测结果</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_Toc405816355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87</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图52 试验1组(A)、2组(B)及3组(C)免疫后抗体检测结果</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_Toc405816356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88</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图53 开展猪蓝耳病防控技术培训及指导</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_Toc405816357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92</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图54 开展实验室技能培训与考核</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_Toc405816358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94</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lastRenderedPageBreak/>
        <w:t>图55 2007-2012年广西猪血清PRRSV抗体监测结果</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_Toc405816359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96</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图56 总体(A)及规模场(B)、散养户(C)、屠宰场(D)猪血清PRRSV抗体监测结果</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_Toc405816360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96</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图57 用于PRRSV病原检测的屠宰场样品采集地点分布图（2010-2012年）</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_Toc405816361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98</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sz w:val="21"/>
          <w:szCs w:val="21"/>
        </w:rPr>
      </w:pPr>
      <w:r w:rsidRPr="00EC0434">
        <w:rPr>
          <w:rFonts w:ascii="宋体" w:eastAsia="宋体" w:hAnsi="宋体" w:hint="eastAsia"/>
          <w:noProof/>
          <w:sz w:val="21"/>
          <w:szCs w:val="21"/>
        </w:rPr>
        <w:t>图58 广西猪蓝耳病流行病学调查地点分布图（2007-2012年）</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_Toc405816362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100</w:t>
      </w:r>
      <w:r w:rsidR="00DC7417" w:rsidRPr="00EC0434">
        <w:rPr>
          <w:rFonts w:ascii="宋体" w:eastAsia="宋体" w:hAnsi="宋体" w:hint="eastAsia"/>
          <w:noProof/>
          <w:sz w:val="21"/>
          <w:szCs w:val="21"/>
        </w:rPr>
        <w:fldChar w:fldCharType="end"/>
      </w:r>
    </w:p>
    <w:p w:rsidR="005B4D1E" w:rsidRDefault="00DC7417" w:rsidP="009D14A5">
      <w:pPr>
        <w:spacing w:line="360" w:lineRule="auto"/>
        <w:jc w:val="center"/>
        <w:rPr>
          <w:b/>
          <w:bCs/>
          <w:sz w:val="30"/>
          <w:szCs w:val="30"/>
        </w:rPr>
      </w:pPr>
      <w:r w:rsidRPr="00EC0434">
        <w:rPr>
          <w:rFonts w:ascii="宋体" w:eastAsia="宋体" w:hAnsi="宋体"/>
          <w:b/>
          <w:bCs/>
          <w:sz w:val="21"/>
          <w:szCs w:val="21"/>
        </w:rPr>
        <w:fldChar w:fldCharType="end"/>
      </w:r>
    </w:p>
    <w:p w:rsidR="005B4D1E" w:rsidRDefault="005B4D1E" w:rsidP="009D14A5">
      <w:pPr>
        <w:spacing w:line="360" w:lineRule="auto"/>
        <w:jc w:val="center"/>
        <w:rPr>
          <w:b/>
          <w:bCs/>
          <w:sz w:val="30"/>
          <w:szCs w:val="30"/>
        </w:rPr>
      </w:pPr>
    </w:p>
    <w:p w:rsidR="005B4D1E" w:rsidRDefault="005B4D1E" w:rsidP="009D14A5">
      <w:pPr>
        <w:spacing w:line="360" w:lineRule="auto"/>
        <w:jc w:val="center"/>
        <w:rPr>
          <w:b/>
          <w:bCs/>
          <w:sz w:val="30"/>
          <w:szCs w:val="30"/>
        </w:rPr>
      </w:pPr>
    </w:p>
    <w:p w:rsidR="005B4D1E" w:rsidRDefault="005B4D1E" w:rsidP="009D14A5">
      <w:pPr>
        <w:spacing w:line="360" w:lineRule="auto"/>
        <w:jc w:val="center"/>
        <w:rPr>
          <w:b/>
          <w:bCs/>
          <w:sz w:val="30"/>
          <w:szCs w:val="30"/>
        </w:rPr>
      </w:pPr>
    </w:p>
    <w:p w:rsidR="005B4D1E" w:rsidRDefault="005B4D1E" w:rsidP="009D14A5">
      <w:pPr>
        <w:spacing w:line="360" w:lineRule="auto"/>
        <w:jc w:val="center"/>
        <w:rPr>
          <w:b/>
          <w:bCs/>
          <w:sz w:val="30"/>
          <w:szCs w:val="30"/>
        </w:rPr>
      </w:pPr>
    </w:p>
    <w:p w:rsidR="005B4D1E" w:rsidRDefault="005B4D1E" w:rsidP="009D14A5">
      <w:pPr>
        <w:spacing w:line="360" w:lineRule="auto"/>
        <w:jc w:val="center"/>
        <w:rPr>
          <w:b/>
          <w:bCs/>
          <w:sz w:val="30"/>
          <w:szCs w:val="30"/>
        </w:rPr>
      </w:pPr>
    </w:p>
    <w:p w:rsidR="005B4D1E" w:rsidRDefault="005B4D1E" w:rsidP="009D14A5">
      <w:pPr>
        <w:spacing w:line="360" w:lineRule="auto"/>
        <w:jc w:val="center"/>
        <w:rPr>
          <w:b/>
          <w:bCs/>
          <w:sz w:val="30"/>
          <w:szCs w:val="30"/>
        </w:rPr>
      </w:pPr>
    </w:p>
    <w:p w:rsidR="005B4D1E" w:rsidRDefault="005B4D1E" w:rsidP="009D14A5">
      <w:pPr>
        <w:spacing w:line="360" w:lineRule="auto"/>
        <w:jc w:val="center"/>
        <w:rPr>
          <w:b/>
          <w:bCs/>
          <w:sz w:val="30"/>
          <w:szCs w:val="30"/>
        </w:rPr>
      </w:pPr>
    </w:p>
    <w:p w:rsidR="005B4D1E" w:rsidRDefault="005B4D1E" w:rsidP="009D14A5">
      <w:pPr>
        <w:spacing w:line="360" w:lineRule="auto"/>
        <w:jc w:val="center"/>
        <w:rPr>
          <w:b/>
          <w:bCs/>
          <w:sz w:val="30"/>
          <w:szCs w:val="30"/>
        </w:rPr>
      </w:pPr>
    </w:p>
    <w:p w:rsidR="005B4D1E" w:rsidRDefault="005B4D1E" w:rsidP="009D14A5">
      <w:pPr>
        <w:spacing w:line="360" w:lineRule="auto"/>
        <w:jc w:val="center"/>
        <w:rPr>
          <w:b/>
          <w:bCs/>
          <w:sz w:val="30"/>
          <w:szCs w:val="30"/>
        </w:rPr>
      </w:pPr>
    </w:p>
    <w:p w:rsidR="005B4D1E" w:rsidRDefault="005B4D1E" w:rsidP="009D14A5">
      <w:pPr>
        <w:spacing w:line="360" w:lineRule="auto"/>
        <w:jc w:val="center"/>
        <w:rPr>
          <w:b/>
          <w:bCs/>
          <w:sz w:val="30"/>
          <w:szCs w:val="30"/>
        </w:rPr>
      </w:pPr>
    </w:p>
    <w:p w:rsidR="005B4D1E" w:rsidRDefault="005B4D1E" w:rsidP="009D14A5">
      <w:pPr>
        <w:spacing w:line="360" w:lineRule="auto"/>
        <w:jc w:val="center"/>
        <w:rPr>
          <w:b/>
          <w:bCs/>
          <w:sz w:val="30"/>
          <w:szCs w:val="30"/>
        </w:rPr>
      </w:pPr>
    </w:p>
    <w:p w:rsidR="005B4D1E" w:rsidRDefault="005B4D1E" w:rsidP="009D14A5">
      <w:pPr>
        <w:spacing w:line="360" w:lineRule="auto"/>
        <w:jc w:val="center"/>
        <w:rPr>
          <w:b/>
          <w:bCs/>
          <w:sz w:val="30"/>
          <w:szCs w:val="30"/>
        </w:rPr>
      </w:pPr>
    </w:p>
    <w:p w:rsidR="005B4D1E" w:rsidRDefault="005B4D1E" w:rsidP="009D14A5">
      <w:pPr>
        <w:spacing w:line="360" w:lineRule="auto"/>
        <w:jc w:val="center"/>
        <w:rPr>
          <w:b/>
          <w:bCs/>
          <w:sz w:val="30"/>
          <w:szCs w:val="30"/>
        </w:rPr>
      </w:pPr>
    </w:p>
    <w:p w:rsidR="00EC0434" w:rsidRDefault="00EC0434" w:rsidP="009D14A5">
      <w:pPr>
        <w:spacing w:line="360" w:lineRule="auto"/>
        <w:jc w:val="center"/>
        <w:rPr>
          <w:b/>
          <w:bCs/>
          <w:sz w:val="30"/>
          <w:szCs w:val="30"/>
        </w:rPr>
      </w:pPr>
    </w:p>
    <w:p w:rsidR="00EC0434" w:rsidRDefault="00EC0434" w:rsidP="009D14A5">
      <w:pPr>
        <w:spacing w:line="360" w:lineRule="auto"/>
        <w:jc w:val="center"/>
        <w:rPr>
          <w:b/>
          <w:bCs/>
          <w:sz w:val="30"/>
          <w:szCs w:val="30"/>
        </w:rPr>
      </w:pPr>
    </w:p>
    <w:p w:rsidR="00EC0434" w:rsidRPr="00EC0434" w:rsidRDefault="00EC0434" w:rsidP="009D14A5">
      <w:pPr>
        <w:spacing w:line="360" w:lineRule="auto"/>
        <w:jc w:val="center"/>
        <w:rPr>
          <w:rFonts w:ascii="宋体" w:eastAsia="宋体" w:hAnsi="宋体"/>
          <w:b/>
          <w:bCs/>
          <w:sz w:val="32"/>
          <w:szCs w:val="32"/>
        </w:rPr>
      </w:pPr>
      <w:r w:rsidRPr="00EC0434">
        <w:rPr>
          <w:rFonts w:ascii="宋体" w:eastAsia="宋体" w:hAnsi="宋体" w:hint="eastAsia"/>
          <w:b/>
          <w:bCs/>
          <w:sz w:val="32"/>
          <w:szCs w:val="32"/>
        </w:rPr>
        <w:lastRenderedPageBreak/>
        <w:t>附表清单</w:t>
      </w:r>
    </w:p>
    <w:p w:rsidR="00EC0434" w:rsidRPr="00EC0434" w:rsidRDefault="00DC7417" w:rsidP="00EC0434">
      <w:pPr>
        <w:pStyle w:val="ab"/>
        <w:tabs>
          <w:tab w:val="right" w:leader="dot" w:pos="8296"/>
        </w:tabs>
        <w:ind w:left="862" w:hanging="422"/>
        <w:rPr>
          <w:rFonts w:ascii="宋体" w:eastAsia="宋体" w:hAnsi="宋体"/>
          <w:noProof/>
          <w:kern w:val="2"/>
          <w:sz w:val="21"/>
          <w:szCs w:val="21"/>
        </w:rPr>
      </w:pPr>
      <w:r w:rsidRPr="00EC0434">
        <w:rPr>
          <w:rFonts w:ascii="宋体" w:eastAsia="宋体" w:hAnsi="宋体"/>
          <w:b/>
          <w:bCs/>
          <w:sz w:val="21"/>
          <w:szCs w:val="21"/>
        </w:rPr>
        <w:fldChar w:fldCharType="begin"/>
      </w:r>
      <w:r w:rsidR="00EC0434" w:rsidRPr="00EC0434">
        <w:rPr>
          <w:rFonts w:ascii="宋体" w:eastAsia="宋体" w:hAnsi="宋体"/>
          <w:b/>
          <w:bCs/>
          <w:sz w:val="21"/>
          <w:szCs w:val="21"/>
        </w:rPr>
        <w:instrText xml:space="preserve"> </w:instrText>
      </w:r>
      <w:r w:rsidR="00EC0434" w:rsidRPr="00EC0434">
        <w:rPr>
          <w:rFonts w:ascii="宋体" w:eastAsia="宋体" w:hAnsi="宋体" w:hint="eastAsia"/>
          <w:b/>
          <w:bCs/>
          <w:sz w:val="21"/>
          <w:szCs w:val="21"/>
        </w:rPr>
        <w:instrText>TOC \t "表题注" \c</w:instrText>
      </w:r>
      <w:r w:rsidR="00EC0434" w:rsidRPr="00EC0434">
        <w:rPr>
          <w:rFonts w:ascii="宋体" w:eastAsia="宋体" w:hAnsi="宋体"/>
          <w:b/>
          <w:bCs/>
          <w:sz w:val="21"/>
          <w:szCs w:val="21"/>
        </w:rPr>
        <w:instrText xml:space="preserve"> </w:instrText>
      </w:r>
      <w:r w:rsidRPr="00EC0434">
        <w:rPr>
          <w:rFonts w:ascii="宋体" w:eastAsia="宋体" w:hAnsi="宋体"/>
          <w:b/>
          <w:bCs/>
          <w:sz w:val="21"/>
          <w:szCs w:val="21"/>
        </w:rPr>
        <w:fldChar w:fldCharType="separate"/>
      </w:r>
      <w:r w:rsidR="00EC0434" w:rsidRPr="00EC0434">
        <w:rPr>
          <w:rFonts w:ascii="宋体" w:eastAsia="宋体" w:hAnsi="宋体" w:hint="eastAsia"/>
          <w:noProof/>
          <w:sz w:val="21"/>
          <w:szCs w:val="21"/>
        </w:rPr>
        <w:t>表1 多重RT-PCR特异性引物</w:t>
      </w:r>
      <w:r w:rsidR="00EC0434" w:rsidRPr="00EC0434">
        <w:rPr>
          <w:rFonts w:ascii="宋体" w:eastAsia="宋体" w:hAnsi="宋体" w:hint="eastAsia"/>
          <w:noProof/>
          <w:sz w:val="21"/>
          <w:szCs w:val="21"/>
        </w:rPr>
        <w:tab/>
      </w:r>
      <w:r w:rsidRPr="00EC0434">
        <w:rPr>
          <w:rFonts w:ascii="宋体" w:eastAsia="宋体" w:hAnsi="宋体" w:hint="eastAsia"/>
          <w:noProof/>
          <w:sz w:val="21"/>
          <w:szCs w:val="21"/>
        </w:rPr>
        <w:fldChar w:fldCharType="begin"/>
      </w:r>
      <w:r w:rsidR="00EC0434" w:rsidRPr="00EC0434">
        <w:rPr>
          <w:rFonts w:ascii="宋体" w:eastAsia="宋体" w:hAnsi="宋体" w:hint="eastAsia"/>
          <w:noProof/>
          <w:sz w:val="21"/>
          <w:szCs w:val="21"/>
        </w:rPr>
        <w:instrText xml:space="preserve"> </w:instrText>
      </w:r>
      <w:r w:rsidR="00EC0434" w:rsidRPr="00EC0434">
        <w:rPr>
          <w:rFonts w:ascii="宋体" w:eastAsia="宋体" w:hAnsi="宋体"/>
          <w:noProof/>
          <w:sz w:val="21"/>
          <w:szCs w:val="21"/>
        </w:rPr>
        <w:instrText>PAGEREF _Toc405816408 \h</w:instrText>
      </w:r>
      <w:r w:rsidR="00EC0434" w:rsidRPr="00EC0434">
        <w:rPr>
          <w:rFonts w:ascii="宋体" w:eastAsia="宋体" w:hAnsi="宋体" w:hint="eastAsia"/>
          <w:noProof/>
          <w:sz w:val="21"/>
          <w:szCs w:val="21"/>
        </w:rPr>
        <w:instrText xml:space="preserve"> </w:instrText>
      </w:r>
      <w:r w:rsidRPr="00EC0434">
        <w:rPr>
          <w:rFonts w:ascii="宋体" w:eastAsia="宋体" w:hAnsi="宋体" w:hint="eastAsia"/>
          <w:noProof/>
          <w:sz w:val="21"/>
          <w:szCs w:val="21"/>
        </w:rPr>
      </w:r>
      <w:r w:rsidRPr="00EC0434">
        <w:rPr>
          <w:rFonts w:ascii="宋体" w:eastAsia="宋体" w:hAnsi="宋体" w:hint="eastAsia"/>
          <w:noProof/>
          <w:sz w:val="21"/>
          <w:szCs w:val="21"/>
        </w:rPr>
        <w:fldChar w:fldCharType="separate"/>
      </w:r>
      <w:r w:rsidR="00F84C39">
        <w:rPr>
          <w:rFonts w:ascii="宋体" w:eastAsia="宋体" w:hAnsi="宋体"/>
          <w:noProof/>
          <w:sz w:val="21"/>
          <w:szCs w:val="21"/>
        </w:rPr>
        <w:t>12</w:t>
      </w:r>
      <w:r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表2 多重RT-PCR特异性引物</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_Toc405816409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17</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表3 引物及探针序列</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_Toc405816410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23</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表4 多重TaqMan real-time PCR的重复性分析</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_Toc405816411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27</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表5 研究所用的PRRSV参考毒株</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_Toc405816412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31</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表6 ORF5基因推导的氨基酸序列分析</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_Toc405816413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32</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表7 0RF7基因推导的氨基酸序列分析</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_Toc405816414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34</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表8研究所用的PRRSV参考毒株</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_Toc405816415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37</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表9 各分离株Nsp2蛋白氨基酸缺失位点</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_Toc405816416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38</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表10 各分离株Nsp2蛋白与毒力相关氨基酸位点的变异分析</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_Toc405816417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39</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表11 用于扩增PRRSV基因组序列的引物</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_Toc405816418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43</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表12 GX1001株、GX1002株和GX1003株基因组组成及编码蛋白</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_Toc405816419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45</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表13 本研究所用的PRRSV参考毒株</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_Toc405816420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46</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表14 GX1001、GX1002及GX1003株间基因组核苷酸及其推导氨基酸的同源性分析</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_Toc405816421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47</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表15 GX1001株核苷酸和氨基酸序列与代表株的同源性分析(%)</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_Toc405816422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48</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表16 GX1002株核苷酸和氨基酸序列与代表株的同源性分析(%)</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_Toc405816423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49</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表17 GX1003株核苷酸和氨基酸序列与代表株的同源性分析(%)</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_Toc405816424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50</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表18 GX1001、GX1002和GX1003株各个基因片段与JXA1株的比对分析</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_Toc405816425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51</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表19 GX1001、GX1002、GX1003株与RespPRRS MLV、VR-2332和JXA1株的氨基酸位点变异分析</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_Toc405816426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52</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表20 研究所得的91个Nsp2基因序列同源性分析</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_Toc405816427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57</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表21 研究所得的98个ORF5基因序列同源性分析</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_Toc405816428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57</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表22 本研究所得的98个ORF6基因序列同源性分析</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_Toc405816429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58</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表23 本研究所得的98个ORF7基因序列同源性分析</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_Toc405816430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58</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表24 Nsp2、ORF5、ORF6和ORF7基因序列分析结果</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_Toc405816431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60</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表25  基于Nsp2、ORF5、ORF6和ORF7基因序列进化速率及tMRCA</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_Toc405816432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62</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表31 扩增Th1型细胞因子和管家基因</w:t>
      </w:r>
      <w:r w:rsidRPr="00EC0434">
        <w:rPr>
          <w:rFonts w:ascii="宋体" w:eastAsia="宋体" w:hAnsi="宋体" w:cs="Arial" w:hint="eastAsia"/>
          <w:noProof/>
          <w:sz w:val="21"/>
          <w:szCs w:val="21"/>
        </w:rPr>
        <w:t>β</w:t>
      </w:r>
      <w:r w:rsidRPr="00EC0434">
        <w:rPr>
          <w:rFonts w:ascii="宋体" w:eastAsia="宋体" w:hAnsi="宋体" w:hint="eastAsia"/>
          <w:noProof/>
          <w:sz w:val="21"/>
          <w:szCs w:val="21"/>
        </w:rPr>
        <w:t>-actin部分基因片段的引物和PCR条件</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_Toc405816433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64</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表32 SYBR Green I real-time PCR的重复性分析</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_Toc405816434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70</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lastRenderedPageBreak/>
        <w:t>表33 2007-2012年某猪场不同日龄猪群血清PRRSV抗体统计表</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_Toc405816435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76</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表34（1） 某猪场2007-2012年不同年份抗体统计表</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_Toc405816436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77</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表34（2） 某猪场2007-2012年不同年份抗体统计表</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_Toc405816437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78</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表35 2007-2012年不同日龄猪群PRRSV抗体S/P(Mean±SD)的变异分析</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_Toc405816438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80</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表36 用于扩增CSFV及PRRSV基因片段的引物序列</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_Toc405816439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84</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表37 各试验组免疫后抗体及病原检测结果</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_Toc405816440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86</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表38 各试验组免疫后CSFV抗体检测结果</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_Toc405816441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87</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表39 各试验组免疫后FMDV抗体检测结果</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_Toc405816442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88</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表40 2007-2012年广西各市领用蓝耳病疫苗情况表（单位：弱毒疫苗为万头份，灭活疫苗为万毫升）</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_Toc405816443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90</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表41 2007-2012年广西各市领用蓝耳病疫苗汇总表</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_Toc405816444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91</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表42 2008-2012年培训情况统计表</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_Toc405816445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92</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表43 2007-2012年广西猪血清PRRSV抗体监测结果</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_Toc405816446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95</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表44 2007-2012年临床样品PRRSV RT-PCR检测结果</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_Toc405816447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97</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表45 2010-2012年广西屠宰场PRRSV监测地点分布</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_Toc405816448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97</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表46 2007-2012屠宰场样品PRRSV RT-PCR检测结果</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_Toc405816449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98</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表47 2007-2012年开展猪蓝耳病流行病学调查的县（区、市）分布</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_Toc405816450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100</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表48 2007-2012年广西部分县猪蓝耳病调查结果</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_Toc405816451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100</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表49 2007-2012年不同日龄阶段猪群发病率及死亡率调查结果</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_Toc405816452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101</w:t>
      </w:r>
      <w:r w:rsidR="00DC7417" w:rsidRPr="00EC0434">
        <w:rPr>
          <w:rFonts w:ascii="宋体" w:eastAsia="宋体" w:hAnsi="宋体" w:hint="eastAsia"/>
          <w:noProof/>
          <w:sz w:val="21"/>
          <w:szCs w:val="21"/>
        </w:rPr>
        <w:fldChar w:fldCharType="end"/>
      </w:r>
    </w:p>
    <w:p w:rsidR="00EC0434" w:rsidRPr="00EC0434" w:rsidRDefault="00EC0434" w:rsidP="00EC0434">
      <w:pPr>
        <w:pStyle w:val="ab"/>
        <w:tabs>
          <w:tab w:val="right" w:leader="dot" w:pos="8296"/>
        </w:tabs>
        <w:ind w:left="860" w:hanging="420"/>
        <w:rPr>
          <w:rFonts w:ascii="宋体" w:eastAsia="宋体" w:hAnsi="宋体"/>
          <w:noProof/>
          <w:kern w:val="2"/>
          <w:sz w:val="21"/>
          <w:szCs w:val="21"/>
        </w:rPr>
      </w:pPr>
      <w:r w:rsidRPr="00EC0434">
        <w:rPr>
          <w:rFonts w:ascii="宋体" w:eastAsia="宋体" w:hAnsi="宋体" w:hint="eastAsia"/>
          <w:noProof/>
          <w:sz w:val="21"/>
          <w:szCs w:val="21"/>
        </w:rPr>
        <w:t>表50 2007-2012年广西部分规模场及行政村猪蓝耳病调查结果</w:t>
      </w:r>
      <w:r w:rsidRPr="00EC0434">
        <w:rPr>
          <w:rFonts w:ascii="宋体" w:eastAsia="宋体" w:hAnsi="宋体" w:hint="eastAsia"/>
          <w:noProof/>
          <w:sz w:val="21"/>
          <w:szCs w:val="21"/>
        </w:rPr>
        <w:tab/>
      </w:r>
      <w:r w:rsidR="00DC7417" w:rsidRPr="00EC0434">
        <w:rPr>
          <w:rFonts w:ascii="宋体" w:eastAsia="宋体" w:hAnsi="宋体" w:hint="eastAsia"/>
          <w:noProof/>
          <w:sz w:val="21"/>
          <w:szCs w:val="21"/>
        </w:rPr>
        <w:fldChar w:fldCharType="begin"/>
      </w:r>
      <w:r w:rsidRPr="00EC0434">
        <w:rPr>
          <w:rFonts w:ascii="宋体" w:eastAsia="宋体" w:hAnsi="宋体" w:hint="eastAsia"/>
          <w:noProof/>
          <w:sz w:val="21"/>
          <w:szCs w:val="21"/>
        </w:rPr>
        <w:instrText xml:space="preserve"> </w:instrText>
      </w:r>
      <w:r w:rsidRPr="00EC0434">
        <w:rPr>
          <w:rFonts w:ascii="宋体" w:eastAsia="宋体" w:hAnsi="宋体"/>
          <w:noProof/>
          <w:sz w:val="21"/>
          <w:szCs w:val="21"/>
        </w:rPr>
        <w:instrText>PAGEREF _Toc405816453 \h</w:instrText>
      </w:r>
      <w:r w:rsidRPr="00EC0434">
        <w:rPr>
          <w:rFonts w:ascii="宋体" w:eastAsia="宋体" w:hAnsi="宋体" w:hint="eastAsia"/>
          <w:noProof/>
          <w:sz w:val="21"/>
          <w:szCs w:val="21"/>
        </w:rPr>
        <w:instrText xml:space="preserve"> </w:instrText>
      </w:r>
      <w:r w:rsidR="00DC7417" w:rsidRPr="00EC0434">
        <w:rPr>
          <w:rFonts w:ascii="宋体" w:eastAsia="宋体" w:hAnsi="宋体" w:hint="eastAsia"/>
          <w:noProof/>
          <w:sz w:val="21"/>
          <w:szCs w:val="21"/>
        </w:rPr>
      </w:r>
      <w:r w:rsidR="00DC7417" w:rsidRPr="00EC0434">
        <w:rPr>
          <w:rFonts w:ascii="宋体" w:eastAsia="宋体" w:hAnsi="宋体" w:hint="eastAsia"/>
          <w:noProof/>
          <w:sz w:val="21"/>
          <w:szCs w:val="21"/>
        </w:rPr>
        <w:fldChar w:fldCharType="separate"/>
      </w:r>
      <w:r w:rsidR="00F84C39">
        <w:rPr>
          <w:rFonts w:ascii="宋体" w:eastAsia="宋体" w:hAnsi="宋体"/>
          <w:noProof/>
          <w:sz w:val="21"/>
          <w:szCs w:val="21"/>
        </w:rPr>
        <w:t>102</w:t>
      </w:r>
      <w:r w:rsidR="00DC7417" w:rsidRPr="00EC0434">
        <w:rPr>
          <w:rFonts w:ascii="宋体" w:eastAsia="宋体" w:hAnsi="宋体" w:hint="eastAsia"/>
          <w:noProof/>
          <w:sz w:val="21"/>
          <w:szCs w:val="21"/>
        </w:rPr>
        <w:fldChar w:fldCharType="end"/>
      </w:r>
    </w:p>
    <w:p w:rsidR="00EC0434" w:rsidRDefault="00DC7417" w:rsidP="009D14A5">
      <w:pPr>
        <w:spacing w:line="360" w:lineRule="auto"/>
        <w:jc w:val="center"/>
        <w:rPr>
          <w:rFonts w:ascii="宋体" w:eastAsia="宋体" w:hAnsi="宋体"/>
          <w:b/>
          <w:bCs/>
          <w:sz w:val="21"/>
          <w:szCs w:val="21"/>
        </w:rPr>
        <w:sectPr w:rsidR="00EC0434" w:rsidSect="00EC0434">
          <w:pgSz w:w="11906" w:h="16838"/>
          <w:pgMar w:top="1440" w:right="1800" w:bottom="1440" w:left="1800" w:header="851" w:footer="992" w:gutter="0"/>
          <w:pgNumType w:fmt="upperRoman" w:start="1"/>
          <w:cols w:space="720"/>
          <w:docGrid w:type="lines" w:linePitch="312"/>
        </w:sectPr>
      </w:pPr>
      <w:r w:rsidRPr="00EC0434">
        <w:rPr>
          <w:rFonts w:ascii="宋体" w:eastAsia="宋体" w:hAnsi="宋体"/>
          <w:b/>
          <w:bCs/>
          <w:sz w:val="21"/>
          <w:szCs w:val="21"/>
        </w:rPr>
        <w:fldChar w:fldCharType="end"/>
      </w:r>
    </w:p>
    <w:p w:rsidR="005B4D1E" w:rsidRDefault="005B4D1E" w:rsidP="005B4D1E">
      <w:pPr>
        <w:pStyle w:val="1"/>
        <w:numPr>
          <w:ilvl w:val="0"/>
          <w:numId w:val="0"/>
        </w:numPr>
        <w:ind w:left="432"/>
        <w:rPr>
          <w:sz w:val="24"/>
          <w:szCs w:val="24"/>
        </w:rPr>
      </w:pPr>
      <w:bookmarkStart w:id="2" w:name="_Toc405816265"/>
      <w:r>
        <w:rPr>
          <w:rFonts w:hint="eastAsia"/>
        </w:rPr>
        <w:lastRenderedPageBreak/>
        <w:t>引言</w:t>
      </w:r>
      <w:bookmarkEnd w:id="2"/>
    </w:p>
    <w:p w:rsidR="00FB4546" w:rsidRPr="00FB4546" w:rsidRDefault="009D14A5" w:rsidP="009D14A5">
      <w:pPr>
        <w:spacing w:line="360" w:lineRule="auto"/>
        <w:rPr>
          <w:rFonts w:ascii="宋体" w:eastAsia="宋体" w:hAnsi="宋体" w:hint="eastAsia"/>
          <w:sz w:val="24"/>
          <w:szCs w:val="24"/>
        </w:rPr>
      </w:pPr>
      <w:r>
        <w:rPr>
          <w:rFonts w:hint="eastAsia"/>
          <w:b/>
          <w:bCs/>
          <w:sz w:val="28"/>
          <w:szCs w:val="28"/>
        </w:rPr>
        <w:t xml:space="preserve">  </w:t>
      </w:r>
      <w:r w:rsidRPr="005B4D1E">
        <w:rPr>
          <w:rFonts w:ascii="宋体" w:eastAsia="宋体" w:hAnsi="宋体" w:hint="eastAsia"/>
          <w:sz w:val="21"/>
          <w:szCs w:val="21"/>
        </w:rPr>
        <w:t xml:space="preserve"> </w:t>
      </w:r>
      <w:r w:rsidR="00FB4546" w:rsidRPr="00FB4546">
        <w:rPr>
          <w:rFonts w:ascii="宋体" w:eastAsia="宋体" w:hAnsi="宋体" w:hint="eastAsia"/>
          <w:b/>
          <w:bCs/>
          <w:sz w:val="24"/>
          <w:szCs w:val="24"/>
        </w:rPr>
        <w:t>研究的背景</w:t>
      </w:r>
    </w:p>
    <w:p w:rsidR="009D14A5" w:rsidRPr="005B4D1E" w:rsidRDefault="00FB4546" w:rsidP="009D14A5">
      <w:pPr>
        <w:spacing w:line="360" w:lineRule="auto"/>
        <w:rPr>
          <w:rFonts w:ascii="宋体" w:eastAsia="宋体" w:hAnsi="宋体"/>
          <w:sz w:val="21"/>
          <w:szCs w:val="21"/>
        </w:rPr>
      </w:pPr>
      <w:r>
        <w:rPr>
          <w:rFonts w:ascii="宋体" w:eastAsia="宋体" w:hAnsi="宋体" w:hint="eastAsia"/>
          <w:sz w:val="21"/>
          <w:szCs w:val="21"/>
        </w:rPr>
        <w:t xml:space="preserve">    </w:t>
      </w:r>
      <w:r w:rsidR="009D14A5" w:rsidRPr="005B4D1E">
        <w:rPr>
          <w:rFonts w:ascii="宋体" w:eastAsia="宋体" w:hAnsi="宋体" w:hint="eastAsia"/>
          <w:sz w:val="21"/>
          <w:szCs w:val="21"/>
        </w:rPr>
        <w:t>猪繁殖与呼吸综合征(Porcine reproductive and respiratory syndrome,PRRS)，又称猪蓝耳病，是由猪繁殖与呼吸综合征病毒(PRRSV)引起以母猪繁殖障碍以及各种年龄猪特别是仔猪呼吸道疾病为主要特征的一种急性传染病。该病最早于1987年在美国发生，荷兰于1991年最先分离到PRRSV（Lelystad virus,LV株），美国于1992年分离到病毒(VR-2332株)。我国则于1996年分离到PRRSV美洲型经典毒株（Ch-la株），2006年分离到以NSP2编码区存在第481位aa和第533～561位aa 30个氨基酸的不连续缺失为标志的PRRSV美洲型高致病性变异毒株(HP-PRRSV)（JXAl株），2010年报道了PRRSV欧洲型毒株的存在和流行（BJEU06-1株），使得当前我国PRRSV流行毒株极为复杂。目前该病呈世界性分布，给养猪业造成重大的经济损失。在美国，PRRS每年给养猪业造成55亿美元以上的直接经济损失，成为危害最严重的传染病；在我国，PRRS是猪口蹄疫、猪瘟之后，给养猪业造成巨大经济损失的第三大传染病。</w:t>
      </w:r>
    </w:p>
    <w:p w:rsidR="009D14A5" w:rsidRPr="005B4D1E" w:rsidRDefault="009D14A5" w:rsidP="009D14A5">
      <w:pPr>
        <w:spacing w:line="360" w:lineRule="auto"/>
        <w:rPr>
          <w:rFonts w:ascii="宋体" w:eastAsia="宋体" w:hAnsi="宋体"/>
          <w:b/>
          <w:bCs/>
          <w:sz w:val="21"/>
          <w:szCs w:val="21"/>
        </w:rPr>
      </w:pPr>
      <w:r w:rsidRPr="005B4D1E">
        <w:rPr>
          <w:rFonts w:ascii="宋体" w:eastAsia="宋体" w:hAnsi="宋体" w:hint="eastAsia"/>
          <w:b/>
          <w:bCs/>
          <w:sz w:val="21"/>
          <w:szCs w:val="21"/>
        </w:rPr>
        <w:t xml:space="preserve">    （</w:t>
      </w:r>
      <w:r w:rsidR="005B4D1E">
        <w:rPr>
          <w:rFonts w:ascii="宋体" w:eastAsia="宋体" w:hAnsi="宋体" w:hint="eastAsia"/>
          <w:b/>
          <w:bCs/>
          <w:sz w:val="21"/>
          <w:szCs w:val="21"/>
        </w:rPr>
        <w:t>1</w:t>
      </w:r>
      <w:r w:rsidRPr="005B4D1E">
        <w:rPr>
          <w:rFonts w:ascii="宋体" w:eastAsia="宋体" w:hAnsi="宋体" w:hint="eastAsia"/>
          <w:b/>
          <w:bCs/>
          <w:sz w:val="21"/>
          <w:szCs w:val="21"/>
        </w:rPr>
        <w:t>）PRRSV基因组结构特点</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PR_RSV属于尼多病毒目动脉炎病毒科动脉炎病毒属，其基因组为单股正链RNA，基因组大小约15 kb，含有9个开放阅读框(ORFs)，其线性排列顺序为5'-NCR-ORFla/lb-ORF2(ORF</w:t>
      </w:r>
      <w:smartTag w:uri="urn:schemas-microsoft-com:office:smarttags" w:element="chmetcnv">
        <w:smartTagPr>
          <w:attr w:name="TCSC" w:val="0"/>
          <w:attr w:name="NumberType" w:val="1"/>
          <w:attr w:name="Negative" w:val="False"/>
          <w:attr w:name="HasSpace" w:val="False"/>
          <w:attr w:name="SourceValue" w:val="2"/>
          <w:attr w:name="UnitName" w:val="a"/>
        </w:smartTagPr>
        <w:r w:rsidRPr="005B4D1E">
          <w:rPr>
            <w:rFonts w:ascii="宋体" w:eastAsia="宋体" w:hAnsi="宋体" w:hint="eastAsia"/>
            <w:sz w:val="21"/>
            <w:szCs w:val="21"/>
          </w:rPr>
          <w:t>2a</w:t>
        </w:r>
      </w:smartTag>
      <w:r w:rsidRPr="005B4D1E">
        <w:rPr>
          <w:rFonts w:ascii="宋体" w:eastAsia="宋体" w:hAnsi="宋体" w:hint="eastAsia"/>
          <w:sz w:val="21"/>
          <w:szCs w:val="21"/>
        </w:rPr>
        <w:t>/2b)-ORF3-ORF4-ORF5-ORF6-ORF7-NCR-3'。</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PRRSV基因组的5</w:t>
      </w:r>
      <w:r w:rsidRPr="005B4D1E">
        <w:rPr>
          <w:rFonts w:ascii="宋体" w:eastAsia="宋体" w:hAnsi="宋体"/>
          <w:sz w:val="21"/>
          <w:szCs w:val="21"/>
        </w:rPr>
        <w:t>′</w:t>
      </w:r>
      <w:r w:rsidRPr="005B4D1E">
        <w:rPr>
          <w:rFonts w:ascii="宋体" w:eastAsia="宋体" w:hAnsi="宋体" w:hint="eastAsia"/>
          <w:sz w:val="21"/>
          <w:szCs w:val="21"/>
        </w:rPr>
        <w:t>端有一段长180-220nt的非编码区(Noncoding region,NCR)，其作用是作为5＇前导序列引导各个亚基因组mRNAs的翻译。3'NCR位于ORF7终止密码子之后，长151nt(不包括poly(A)尾巴），其序列比较保守，poly(A)尾巴上游有一个长10nt的保守基序。</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ORF1（包括ORFla和ORFlb）约占病毒基因组的80%，其编码产物为一个聚合多肽，ORFla编码的蛋白可被自身编码的蛋白酶切割成8个非结构蛋白(Nsp1～8)，其中Nsp2在各基．因型中变异最大，Nsp2蛋白具有耐受碱基插入或突变的能力。该蛋白可能与PRRSV对组织和细胞的亲嗜性有关，可能决定动脉炎病毒的种属特异性，因此可用于监测PRRSV的变异以及发展成为一个特异性诊断技术的理想标记。ORFlb编码的蛋白由ORFla编码的水解蛋白酶裂解产生4个非结构蛋白(Nsp9～12)，其中Nsp9为病毒复制酶，Nspl0具有解螺旋酶活性。</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ORF2编码的GP</w:t>
      </w:r>
      <w:smartTag w:uri="urn:schemas-microsoft-com:office:smarttags" w:element="chmetcnv">
        <w:smartTagPr>
          <w:attr w:name="TCSC" w:val="0"/>
          <w:attr w:name="NumberType" w:val="1"/>
          <w:attr w:name="Negative" w:val="False"/>
          <w:attr w:name="HasSpace" w:val="False"/>
          <w:attr w:name="SourceValue" w:val="2"/>
          <w:attr w:name="UnitName" w:val="a"/>
        </w:smartTagPr>
        <w:r w:rsidRPr="005B4D1E">
          <w:rPr>
            <w:rFonts w:ascii="宋体" w:eastAsia="宋体" w:hAnsi="宋体" w:hint="eastAsia"/>
            <w:sz w:val="21"/>
            <w:szCs w:val="21"/>
          </w:rPr>
          <w:t>2a</w:t>
        </w:r>
      </w:smartTag>
      <w:r w:rsidRPr="005B4D1E">
        <w:rPr>
          <w:rFonts w:ascii="宋体" w:eastAsia="宋体" w:hAnsi="宋体" w:hint="eastAsia"/>
          <w:sz w:val="21"/>
          <w:szCs w:val="21"/>
        </w:rPr>
        <w:t>结构蛋白是一种N-糖基化蛋白质，通过C末端的跨膜区粘附囊膜上，N末端的2个糖基化位点在病毒粒子表面。ORF2中还含有一个小的内部阅读框(ORF2b)，编码1个含有73aa的蛋白（称为E蛋白）。目前GP</w:t>
      </w:r>
      <w:smartTag w:uri="urn:schemas-microsoft-com:office:smarttags" w:element="chmetcnv">
        <w:smartTagPr>
          <w:attr w:name="TCSC" w:val="0"/>
          <w:attr w:name="NumberType" w:val="1"/>
          <w:attr w:name="Negative" w:val="False"/>
          <w:attr w:name="HasSpace" w:val="False"/>
          <w:attr w:name="SourceValue" w:val="2"/>
          <w:attr w:name="UnitName" w:val="a"/>
        </w:smartTagPr>
        <w:r w:rsidRPr="005B4D1E">
          <w:rPr>
            <w:rFonts w:ascii="宋体" w:eastAsia="宋体" w:hAnsi="宋体" w:hint="eastAsia"/>
            <w:sz w:val="21"/>
            <w:szCs w:val="21"/>
          </w:rPr>
          <w:t>2a</w:t>
        </w:r>
      </w:smartTag>
      <w:r w:rsidRPr="005B4D1E">
        <w:rPr>
          <w:rFonts w:ascii="宋体" w:eastAsia="宋体" w:hAnsi="宋体" w:hint="eastAsia"/>
          <w:sz w:val="21"/>
          <w:szCs w:val="21"/>
        </w:rPr>
        <w:t>详细的生物学功能还不是很清楚。ORF3</w:t>
      </w:r>
      <w:r w:rsidRPr="005B4D1E">
        <w:rPr>
          <w:rFonts w:ascii="宋体" w:eastAsia="宋体" w:hAnsi="宋体" w:hint="eastAsia"/>
          <w:sz w:val="21"/>
          <w:szCs w:val="21"/>
        </w:rPr>
        <w:lastRenderedPageBreak/>
        <w:t>编码的GP3也是一种高度糖基化的蛋白，具有7个糖基化位点。GP3至少包含2个抗原决定簇，1个存在于GP3的N末端，是较为保守的表位，大多数美洲型PRRSV中都含有该表位。GP3可能与诱导细胞免疫有关。ORF4编码的GP4是一种糖基化囊膜蛋白，有4个糖基化位点，其N-端和C-端都具有高度疏水区。GP4至少含1个线性抗原决定簇，所诱导的抗体具有中和作用。</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ORF5编码的GP5是一种高度糖基化囊膜蛋白，含有4个糖基化位点。GP5有6个抗原决定簇，其中3个位于GP5的胞外区，2个是保守的线性中和表位，分别位于胞外区的N端和中部，能诱导中和抗体的产生，另一个是高度变异的非中和性表位，它所诱导的抗体对PRRSV没有中和作用。GP5可以诱导感染组织或细胞培养物中未感染的周围细胞发生调亡，这种功能与GP5的前119个氨基酸密切相关。ORF5在各毒株间变异较大，是开展分子流行病学的重要靶基因。</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ORF6编码的M蛋白，即基质蛋白(matrix protein)，是一种非糖基化蛋白。在所有的结构蛋白中，M蛋白最为保守。M蛋白有一个短肽段(18aa)暴露于病毒粒子表面，可能与病毒的聚集和结合有关。M蛋白聚集于粗面内质网上，并与GP5形成异源二聚体，在病毒对肺泡巨噬细胞附着和病毒侵染过程中起重要作用。M蛋白具有很强的免疫原性，感染后10d即可激发产生可检测的抗体应答，表达的重组M蛋白可以作为血清学试验的靶抗原，但对病毒没有中和作用。</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ORF7编码的N蛋白，即核衣壳蛋白(nucleocapsid protein)，在病毒粒子中含量较高，通过二硫键可自身形成同源二聚体，也可与M或GP5形成异源二聚体。交联试验结果表明，N蛋白可以组装成一种高度有序的结构，包括二聚体、三聚体、四聚体，甚至五聚体，这些都是N蛋白装配成核衣壳的分子基础。N蛋白的免疫原性较强，至少含有5个抗原决定簇，其中有对所有毒株保守的共同决定簇，也有型特异性抗原决定簇。由于N蛋白诱导产生的抗体是非中和抗体，对机体不起保护作用反而有干扰作用。</w:t>
      </w:r>
    </w:p>
    <w:p w:rsidR="009D14A5" w:rsidRPr="005B4D1E" w:rsidRDefault="009D14A5" w:rsidP="009D14A5">
      <w:pPr>
        <w:spacing w:line="360" w:lineRule="auto"/>
        <w:rPr>
          <w:rFonts w:ascii="宋体" w:eastAsia="宋体" w:hAnsi="宋体"/>
          <w:b/>
          <w:bCs/>
          <w:sz w:val="21"/>
          <w:szCs w:val="21"/>
        </w:rPr>
      </w:pPr>
      <w:r w:rsidRPr="005B4D1E">
        <w:rPr>
          <w:rFonts w:ascii="宋体" w:eastAsia="宋体" w:hAnsi="宋体" w:hint="eastAsia"/>
          <w:b/>
          <w:bCs/>
          <w:sz w:val="21"/>
          <w:szCs w:val="21"/>
        </w:rPr>
        <w:t xml:space="preserve">    （</w:t>
      </w:r>
      <w:r w:rsidR="005B4D1E">
        <w:rPr>
          <w:rFonts w:ascii="宋体" w:eastAsia="宋体" w:hAnsi="宋体" w:hint="eastAsia"/>
          <w:b/>
          <w:bCs/>
          <w:sz w:val="21"/>
          <w:szCs w:val="21"/>
        </w:rPr>
        <w:t>2</w:t>
      </w:r>
      <w:r w:rsidRPr="005B4D1E">
        <w:rPr>
          <w:rFonts w:ascii="宋体" w:eastAsia="宋体" w:hAnsi="宋体" w:hint="eastAsia"/>
          <w:b/>
          <w:bCs/>
          <w:sz w:val="21"/>
          <w:szCs w:val="21"/>
        </w:rPr>
        <w:t>）PRRSV基因组的致病性变异</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在已知的RNA病毒中，PRRSV是变异率较高的病毒之一。PRRSV减毒疫苗株毒力可以发生变异。有实验证明疫苗毒在猪体内的增殖过程中，其基因组发生了向强毒株的选择性突变，其中尤以ORF5的选择性突变能力最强。也许单个氨基酸的改变不足以导致PRRSV毒力的致弱或返祖，但是在病毒复制过程中，随着某些毒力相关性基因突变的积累，必然会导致其毒力发生变化，这也是使用PRRSV减毒疫苗的隐患所在。</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PRRSV不同分离株之间存在明显的致病性差异，如欧洲型LV株和美洲型低毒力的UR2341株对猪的致病力较弱，仅引起较为温和的症状，而另一些高致病力的PRRSV分离株（如</w:t>
      </w:r>
      <w:r w:rsidRPr="005B4D1E">
        <w:rPr>
          <w:rFonts w:ascii="宋体" w:eastAsia="宋体" w:hAnsi="宋体" w:hint="eastAsia"/>
          <w:sz w:val="21"/>
          <w:szCs w:val="21"/>
        </w:rPr>
        <w:lastRenderedPageBreak/>
        <w:t>VR-2332）则能引起猪群发生典型的PRRS症状。即使在同一猪场所分离到的PRRSV也可表现出致病性的差异。不同毒株之间所表现的致病性差异机制还不清楚，但是特定毒株的基因组的特点可能决定了病毒在动物体内的毒力。因此，对具有不同毒力的PRRSV基因组特性进行分析非常重要。</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PRRSV可以引起猪群的持续性感染，这为PRRSV的变异提供了很好的机会和环境。有研究表明，PRRSV可以在猪体内持续存在367d，在这个过程中，PRRSV的各个基因表现出不同程度的变异，其中以ORF5的突变速率最高，而且随着病毒在猪体内复制时间的延长，PRRSV的遗传变异和抗原变异还有不断增加的倾向，而PRRSV变异株的存在有利于其免疫逃避。</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RNA的重组为RNA病毒的演化提供了一种强有力的机制。RNA病毒之间相互交换遗传信息可以使病毒适应变化了的环境，并逃脱选择压力（如中和抗体）的作用。PRRSV RNA能在细胞培养物中发生同源重组，自然界的PRRSV也存在重组现象，而且PRRSV在宿主体内也能发生基因重组。</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由于不同毒株的Nsp2和ORF5核苷酸序列变异很大，并且与致病性息息相关，因而成为国内外学者研究病毒分子流行病学的理想目标基因。</w:t>
      </w:r>
    </w:p>
    <w:p w:rsidR="009D14A5" w:rsidRPr="005B4D1E" w:rsidRDefault="009D14A5" w:rsidP="009D14A5">
      <w:pPr>
        <w:spacing w:line="360" w:lineRule="auto"/>
        <w:rPr>
          <w:rFonts w:ascii="宋体" w:eastAsia="宋体" w:hAnsi="宋体"/>
          <w:b/>
          <w:bCs/>
          <w:sz w:val="21"/>
          <w:szCs w:val="21"/>
        </w:rPr>
      </w:pPr>
      <w:r w:rsidRPr="005B4D1E">
        <w:rPr>
          <w:rFonts w:ascii="宋体" w:eastAsia="宋体" w:hAnsi="宋体" w:hint="eastAsia"/>
          <w:b/>
          <w:bCs/>
          <w:sz w:val="21"/>
          <w:szCs w:val="21"/>
        </w:rPr>
        <w:t xml:space="preserve">    （</w:t>
      </w:r>
      <w:r w:rsidR="005B4D1E">
        <w:rPr>
          <w:rFonts w:ascii="宋体" w:eastAsia="宋体" w:hAnsi="宋体" w:hint="eastAsia"/>
          <w:b/>
          <w:bCs/>
          <w:sz w:val="21"/>
          <w:szCs w:val="21"/>
        </w:rPr>
        <w:t>3</w:t>
      </w:r>
      <w:r w:rsidRPr="005B4D1E">
        <w:rPr>
          <w:rFonts w:ascii="宋体" w:eastAsia="宋体" w:hAnsi="宋体" w:hint="eastAsia"/>
          <w:b/>
          <w:bCs/>
          <w:sz w:val="21"/>
          <w:szCs w:val="21"/>
        </w:rPr>
        <w:t>）国内高致病性猪蓝耳病的爆发</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从2006年4月开始，一种以高热、皮肤发红、呼吸和消化系统紊乱、高发病率和高死亡率为特点的、被称为猪“高热病”的疫病在我国江西省的一些猪场以不同数量和规模呈灾难性地爆发，此后迅速向其它生猪主产省蔓延，到年底已有从东北到西南的12个省发生。这一疫病的出现和流行给中国的养猪业造成了巨大损失，一些严重爆发此病的地区，猪的总量下降了60%，而一些中型和小型养猪场则因此被迫关闭。据官方估计，2006年有超过1000万头猪在这场疫病爆发中死亡和被销毁。2007年，此病进一步迅速蔓延，到5月，全国大陆地区31个省无一幸免。广西于2006年9月开始于桂林出现疫情，到2007年4月全区各市均有发生，据部分猪场初步统计累计病猪69255头，死亡37996头，死亡率59.9%。进入5月份，该病在我区各地爆发、迅速蔓延，损失惨重，与南方的湖南、贵州、重庆等省市一道，成为全国的重灾区。对突如其来的重大疫情，农业部迅速组织科研单位和大专院校的有关专家进行联合攻关，通过对分离病毒采用全基因序列分析、回归本动物感染实验等技术手段，2007年1月，确定猪蓝耳病病毒变异毒株是猪“高热病”，主要病原，并定名为“高致病性猪蓝耳病”（HP-PRRS）。</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2006</w:t>
      </w:r>
      <w:r w:rsidRPr="005B4D1E">
        <w:rPr>
          <w:rFonts w:ascii="宋体" w:eastAsia="宋体" w:hAnsi="宋体" w:cs="宋体" w:hint="eastAsia"/>
          <w:sz w:val="21"/>
          <w:szCs w:val="21"/>
        </w:rPr>
        <w:t>–</w:t>
      </w:r>
      <w:r w:rsidRPr="005B4D1E">
        <w:rPr>
          <w:rFonts w:ascii="宋体" w:eastAsia="宋体" w:hAnsi="宋体" w:hint="eastAsia"/>
          <w:sz w:val="21"/>
          <w:szCs w:val="21"/>
        </w:rPr>
        <w:t>2007年，高致病性猪蓝耳病表现出如下主要特征：第一，它具有覆盖许多地区的广泛流行性，该病从南方迅速向华中、西南与东北传播和扩散，并蔓延全国；第二，该病传播迅速，具有明显的流行和传播特征。一般来说，一旦一个猪场感染此病，整个猪群在3</w:t>
      </w:r>
      <w:r w:rsidRPr="005B4D1E">
        <w:rPr>
          <w:rFonts w:ascii="宋体" w:eastAsia="宋体" w:hAnsi="宋体" w:hint="eastAsia"/>
          <w:sz w:val="21"/>
          <w:szCs w:val="21"/>
        </w:rPr>
        <w:lastRenderedPageBreak/>
        <w:t>到5天内感染，而整个猪场在1到2周内感染，随后波及邻近地区；第三，感染动物通常表现为高热(41—</w:t>
      </w:r>
      <w:smartTag w:uri="urn:schemas-microsoft-com:office:smarttags" w:element="chmetcnv">
        <w:smartTagPr>
          <w:attr w:name="TCSC" w:val="0"/>
          <w:attr w:name="NumberType" w:val="1"/>
          <w:attr w:name="Negative" w:val="False"/>
          <w:attr w:name="HasSpace" w:val="False"/>
          <w:attr w:name="SourceValue" w:val="42"/>
          <w:attr w:name="UnitName" w:val="℃"/>
        </w:smartTagPr>
        <w:r w:rsidRPr="005B4D1E">
          <w:rPr>
            <w:rFonts w:ascii="宋体" w:eastAsia="宋体" w:hAnsi="宋体" w:hint="eastAsia"/>
            <w:sz w:val="21"/>
            <w:szCs w:val="21"/>
          </w:rPr>
          <w:t>42℃</w:t>
        </w:r>
      </w:smartTag>
      <w:r w:rsidRPr="005B4D1E">
        <w:rPr>
          <w:rFonts w:ascii="宋体" w:eastAsia="宋体" w:hAnsi="宋体" w:hint="eastAsia"/>
          <w:sz w:val="21"/>
          <w:szCs w:val="21"/>
        </w:rPr>
        <w:t>)，而疾病通常维持1-3周，在感染猪群中，猪在临床症状出现5-7天后开始死亡；第四，猪不分年龄和品种都易感，并伴有高发病率和死亡率，感染猪群发病率可高达50～100%，而死亡率则高达20～100%。发病率对于不同生长阶段的猪各异，对于哺乳仔猪来说，发病率可达到顶峰的100%，而对于保育猪来说，最高达70%，而成年猪为20%。妊娠母猪的流产率高达40%，而且流产胎儿无一存活。母猪死亡在感染猪群中不常见，其平均的发病率为10%；第五个特点是由于低劣的饲养和管理条件，此病更频繁和严重地在散养户、小型和中型猪场爆发，然后迅速向大型集约化猪场扩散。</w:t>
      </w:r>
    </w:p>
    <w:p w:rsidR="009D14A5" w:rsidRPr="003B0360" w:rsidRDefault="009D14A5" w:rsidP="009D14A5">
      <w:pPr>
        <w:spacing w:line="360" w:lineRule="auto"/>
        <w:rPr>
          <w:rFonts w:ascii="宋体" w:eastAsia="宋体" w:hAnsi="宋体"/>
          <w:b/>
          <w:bCs/>
          <w:sz w:val="24"/>
          <w:szCs w:val="24"/>
        </w:rPr>
      </w:pPr>
      <w:r w:rsidRPr="005B4D1E">
        <w:rPr>
          <w:rFonts w:ascii="宋体" w:eastAsia="宋体" w:hAnsi="宋体" w:hint="eastAsia"/>
          <w:b/>
          <w:bCs/>
          <w:sz w:val="21"/>
          <w:szCs w:val="21"/>
        </w:rPr>
        <w:t xml:space="preserve">    </w:t>
      </w:r>
      <w:r w:rsidRPr="003B0360">
        <w:rPr>
          <w:rFonts w:ascii="宋体" w:eastAsia="宋体" w:hAnsi="宋体" w:hint="eastAsia"/>
          <w:b/>
          <w:bCs/>
          <w:sz w:val="24"/>
          <w:szCs w:val="24"/>
        </w:rPr>
        <w:t>研究的意义</w:t>
      </w:r>
    </w:p>
    <w:p w:rsidR="00206742" w:rsidRPr="00206742" w:rsidRDefault="009D14A5" w:rsidP="00206742">
      <w:pPr>
        <w:spacing w:line="360" w:lineRule="auto"/>
        <w:rPr>
          <w:rFonts w:ascii="宋体" w:eastAsia="宋体" w:hAnsi="宋体"/>
          <w:sz w:val="21"/>
          <w:szCs w:val="21"/>
        </w:rPr>
      </w:pPr>
      <w:r w:rsidRPr="005B4D1E">
        <w:rPr>
          <w:rFonts w:ascii="宋体" w:eastAsia="宋体" w:hAnsi="宋体" w:hint="eastAsia"/>
          <w:sz w:val="21"/>
          <w:szCs w:val="21"/>
        </w:rPr>
        <w:t xml:space="preserve">    经过众多专家、学者的艰苦努力，最后确定HP-PRRSV是高致病性猪蓝耳病的元凶。但对该病病原的分子生物学特性、分子流行病学、致病机理、免疫机理、疫苗研制、防控技术与成效评估等知之甚少，仍有大量的疑难问题亟待攻克。广西是HP-PRRS的重灾区，但对该病的研究基本却处于空白状态。为了做好我区对该病的防控工作，亟需掌握HP-PRRSV在广西的分布、发生、发展、分子流行病学规律、快速鉴别诊断技术、预防控制关键技术以及采取有针对性的防控措施。通过开展本研究，建立能正确区分PRRSV美洲型经典毒株、变异毒株及欧洲型毒株的快速鉴别检测方法，明确广西PRRSV流行毒株的基因型和主要基因亚群及其遗传变异规律，分离鉴定HP-PRRSV广西地方株并对其基因组分子特征进行分析，探索PRRSV感染对宿主免疫反应的影响，评估PRRSV灭活疫苗及弱毒疫苗的免疫效果，开展防控关键技术培训及指导。本研究的主要意义在于：一是摸清HP-PRRS发生及流行规律，提出有效防控措施。通过本研究，明确当前广西PRRSV流行毒株的基因型和主要基因亚群及其遗传变异规律、分析广西地方分离株基因组分子特征，从而掌握我区HP-PRRSV的分子流行病学规律，为我区采取有针对性的综合防控措施提供理论依据。特别是当前经典毒株与变异毒株同时存在、同时致病，来源于传统毒株的弱毒苗、灭活苗与来源于变异毒株的灭活苗、弱毒苗同时生产、同时使用的复杂局面下，对目前主要采用疫苗免疫来防控HP-PRRS的实际情况下，选定针对当前广西流行毒株的优势基因型和基因亚群，对保证免疫效果、有效防控该病尤为重要。二是促进畜牧业健康发展，增加农民现金收入。我区畜牧业总产值占农业总产值的52%左右，占有半壁江山，近年来已经成为增加农民现金收入的主渠道。而养猪业是我区养殖业的主体，每年饲养量达到5000万头以上。如何防控严重威胁养猪业健康发展的HP-PRRS至关重要。通过本研究，努力摸清该病发生、发展和流行的规律，探索PRRSV感染对宿主免疫反应的影响，评估PRRSV灭活疫苗及弱毒疫苗的免疫效果，开展防控关键技术培训及指导，采取有效的综合防控措施，尽可能减少生猪发病率、死亡率，减轻农民的损失。同时，通过建立和应用快速诊断方法，做好监测、诊断、预警预报，可以及早预防，一旦发病，也可以及早确诊，以尽快采取应对措施，把损失减少到最低程度。三是培养锻炼人才队</w:t>
      </w:r>
      <w:r w:rsidRPr="005B4D1E">
        <w:rPr>
          <w:rFonts w:ascii="宋体" w:eastAsia="宋体" w:hAnsi="宋体" w:hint="eastAsia"/>
          <w:sz w:val="21"/>
          <w:szCs w:val="21"/>
        </w:rPr>
        <w:lastRenderedPageBreak/>
        <w:t>伍，提高整体防控水平。本研究涉及科学布点、病料采集、RT-PCR、细胞培养、基因克隆、基因组测序及分析、免疫机理及疫苗免疫效果评估等许多实际操作技能，运用动物微生物学、动物传染病学、分子生物学、生物信息学等多学科的理论和技术，通过研究，努力培养、提高整个研究团队的理论、技术水平。通过开展防控关键技术培训及指导，提高全区各级各类兽医人员的知识水平及操作能力，为做好我区重大动物疫病防控工作、促进畜牧业健康发展提供人才保障。</w:t>
      </w:r>
    </w:p>
    <w:p w:rsidR="009D14A5" w:rsidRPr="00206742" w:rsidRDefault="009D14A5" w:rsidP="00206742">
      <w:pPr>
        <w:spacing w:line="360" w:lineRule="auto"/>
        <w:ind w:firstLineChars="196" w:firstLine="472"/>
        <w:rPr>
          <w:rFonts w:ascii="宋体" w:eastAsia="宋体" w:hAnsi="宋体"/>
          <w:b/>
          <w:sz w:val="24"/>
          <w:szCs w:val="24"/>
        </w:rPr>
      </w:pPr>
      <w:r w:rsidRPr="00206742">
        <w:rPr>
          <w:rFonts w:ascii="宋体" w:eastAsia="宋体" w:hAnsi="宋体" w:hint="eastAsia"/>
          <w:b/>
          <w:sz w:val="24"/>
          <w:szCs w:val="24"/>
        </w:rPr>
        <w:t>研究内容</w:t>
      </w:r>
    </w:p>
    <w:p w:rsidR="009D14A5" w:rsidRPr="005B4D1E" w:rsidRDefault="00206742" w:rsidP="009D14A5">
      <w:pPr>
        <w:spacing w:line="360" w:lineRule="auto"/>
        <w:rPr>
          <w:rFonts w:ascii="宋体" w:eastAsia="宋体" w:hAnsi="宋体"/>
          <w:b/>
          <w:sz w:val="21"/>
          <w:szCs w:val="21"/>
        </w:rPr>
      </w:pPr>
      <w:r>
        <w:rPr>
          <w:rFonts w:ascii="宋体" w:eastAsia="宋体" w:hAnsi="宋体" w:hint="eastAsia"/>
          <w:b/>
          <w:sz w:val="21"/>
          <w:szCs w:val="21"/>
        </w:rPr>
        <w:t xml:space="preserve">    (1)</w:t>
      </w:r>
      <w:r w:rsidR="009D14A5" w:rsidRPr="005B4D1E">
        <w:rPr>
          <w:rFonts w:ascii="宋体" w:eastAsia="宋体" w:hAnsi="宋体" w:hint="eastAsia"/>
          <w:b/>
          <w:sz w:val="21"/>
          <w:szCs w:val="21"/>
        </w:rPr>
        <w:t>HP-PRRSV广西流行毒株分析</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一是以2006年下半年以来送检我中心的来自广西各地的疑似PRRS的病料（血清和／或组织）200-300份，二是选择2-3个发病猪场，采取具有典型症状和病变的病、死猪的可疑病料各20-30份，三是从广西各地屠宰场采集无临床症状的屠宰猪的组织400-500份，用通用引物检测ORF5基因或Nsp2基因，选取其中的经RT-PCR检测PRRSV阳性样品作为本研究的实验材料。根据NCBI Genbank上已知的PRRSV的基因组序列，选取美洲型和欧洲型毒株的共同保守区域，设计特异性引物，应用RT-PCR技术，扩增病毒的ORF7、ORF5以及Nsp2全基因片段，产物经纯化、连接和克隆后，选取阳性重组子进行基因序列的测定，经序列拼接获得各个病毒株的ORF7、ORF5以及Nsp2全基因序列。采用分子生物学软件，分别基于ORF7、ORF5以及Nsp2全基因序列，进行遗传进化树、氨基酸序列比对、氨基酸同源性等分析。通过本研究，一是明确当前广西 高致病性PRRSV流行毒株的基因型和基因亚群，二是明确同一发病猪场是否同时存在PRRSV经典毒株和高致病性变异毒株，三是了解健康猪携带PRRSV传统毒株和高致病性变异毒株的情况，从而掌握当前广西高致病性PRRSV的分子流行病学基本状况。</w:t>
      </w:r>
    </w:p>
    <w:p w:rsidR="009D14A5" w:rsidRPr="005B4D1E" w:rsidRDefault="009D14A5" w:rsidP="009D14A5">
      <w:pPr>
        <w:spacing w:line="360" w:lineRule="auto"/>
        <w:rPr>
          <w:rFonts w:ascii="宋体" w:eastAsia="宋体" w:hAnsi="宋体"/>
          <w:b/>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(2)HP-PRRSV分离、鉴定及其全基因组序列测定和分析</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一是从PRRS疑似发病猪场中采集典型病、死猪的血清和／或组织，二是从广西各地屠宰场采集无临床症状的屠宰猪的组织，经RT-PCR检测证实为PRRSV阳性的作为本研究的实验材料。取血清或经研磨、反复冻融后的组织上清，接种MARC-145细胞系，观察细胞病变(CPE)，分离PRRSV。采用RT-PCR、间接免疫荧光(IFA)技术和免疫电镜技术对分离毒株进行鉴定，并在MARC-145细胞系上增殖和测定其TCID</w:t>
      </w:r>
      <w:r w:rsidRPr="005B4D1E">
        <w:rPr>
          <w:rFonts w:ascii="宋体" w:eastAsia="宋体" w:hAnsi="宋体" w:hint="eastAsia"/>
          <w:sz w:val="21"/>
          <w:szCs w:val="21"/>
          <w:vertAlign w:val="subscript"/>
        </w:rPr>
        <w:t>50</w:t>
      </w:r>
      <w:r w:rsidRPr="005B4D1E">
        <w:rPr>
          <w:rFonts w:ascii="宋体" w:eastAsia="宋体" w:hAnsi="宋体" w:hint="eastAsia"/>
          <w:sz w:val="21"/>
          <w:szCs w:val="21"/>
        </w:rPr>
        <w:t>。采用</w:t>
      </w:r>
      <w:smartTag w:uri="urn:schemas-microsoft-com:office:smarttags" w:element="chmetcnv">
        <w:smartTagPr>
          <w:attr w:name="TCSC" w:val="0"/>
          <w:attr w:name="NumberType" w:val="1"/>
          <w:attr w:name="Negative" w:val="False"/>
          <w:attr w:name="HasSpace" w:val="False"/>
          <w:attr w:name="SourceValue" w:val="5"/>
          <w:attr w:name="UnitName" w:val="’"/>
        </w:smartTagPr>
        <w:r w:rsidRPr="005B4D1E">
          <w:rPr>
            <w:rFonts w:ascii="宋体" w:eastAsia="宋体" w:hAnsi="宋体" w:hint="eastAsia"/>
            <w:sz w:val="21"/>
            <w:szCs w:val="21"/>
          </w:rPr>
          <w:t>5’</w:t>
        </w:r>
      </w:smartTag>
      <w:r w:rsidRPr="005B4D1E">
        <w:rPr>
          <w:rFonts w:ascii="宋体" w:eastAsia="宋体" w:hAnsi="宋体" w:hint="eastAsia"/>
          <w:sz w:val="21"/>
          <w:szCs w:val="21"/>
        </w:rPr>
        <w:t>-Full RACE技术及RT-PCR技术，分段设计引物，分别扩增分离毒株的所有cDNA片段，将其克隆到pGEM-T easy载体，对鉴定为阳性的重组子进行测序，经序列拼接获得分离毒株的全基因组序列。利用各种分子生物学软件，对分离毒株的基因组分子特征进行生物信息学分析，包括遗传进化树、氨基酸序列比对、氨基酸同源性、蛋白质亲水性以及抗原表位预测等分析。通过本研究，一是在广</w:t>
      </w:r>
      <w:r w:rsidRPr="005B4D1E">
        <w:rPr>
          <w:rFonts w:ascii="宋体" w:eastAsia="宋体" w:hAnsi="宋体" w:hint="eastAsia"/>
          <w:sz w:val="21"/>
          <w:szCs w:val="21"/>
        </w:rPr>
        <w:lastRenderedPageBreak/>
        <w:t>西首次分离、鉴定高致病性PRRSV变异毒株并对其全基因组序列进行测定，二是系统分析高致病性PRRSV广西分离株的分子特征，从而掌握广西高致病性PRRSV流行毒株的分子流行病学基本状况。</w:t>
      </w:r>
    </w:p>
    <w:p w:rsidR="009D14A5" w:rsidRPr="005B4D1E" w:rsidRDefault="009D14A5" w:rsidP="009D14A5">
      <w:pPr>
        <w:spacing w:line="360" w:lineRule="auto"/>
        <w:rPr>
          <w:rFonts w:ascii="宋体" w:eastAsia="宋体" w:hAnsi="宋体"/>
          <w:b/>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 xml:space="preserve"> (3)HP-PRRSV快速诊断方法的建立及初步应用</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在进行广泛的分子流行病学调查的基础上，明确当前广西高致病性PRRSV流行毒株的基因型和主要基因亚群，并仔细分析各流行毒株基因组的共同保守区域和易变区域。据此，设计合成一整套特异性引物，以扩增PRRSV的特定基因（Nsp2和／或ORF5）片段。通过各种反应条件的优化，建立特异、快速、敏感、并能正确区分PRRSV传统毒株和高致病性变异株的多重PCR方法。初步应用该法，每年对发病猪场和全区各地送检的疑似PRRS的病、死猪病料600份以上以及正常监测采取的样品600份以上进行检测，，做到快速、准确诊断该病，为广西疫情诊断、监测、预警预报，掌握PRRS的发生、发展及其流行规律，为各级政府以及动物疫病预防控制机构正确采取相应防控措施，为广大养殖户及时防控、减少损失提供科学依据，从而为广西畜牧业的健康、快速发展做出贡献。</w:t>
      </w:r>
    </w:p>
    <w:p w:rsidR="009D14A5" w:rsidRPr="00206742" w:rsidRDefault="009D14A5" w:rsidP="009D14A5">
      <w:pPr>
        <w:spacing w:line="360" w:lineRule="auto"/>
        <w:rPr>
          <w:rFonts w:ascii="宋体" w:eastAsia="宋体" w:hAnsi="宋体"/>
          <w:b/>
          <w:sz w:val="24"/>
          <w:szCs w:val="24"/>
        </w:rPr>
      </w:pPr>
      <w:r w:rsidRPr="005B4D1E">
        <w:rPr>
          <w:rFonts w:ascii="宋体" w:eastAsia="宋体" w:hAnsi="宋体" w:hint="eastAsia"/>
          <w:sz w:val="21"/>
          <w:szCs w:val="21"/>
        </w:rPr>
        <w:t xml:space="preserve">   </w:t>
      </w:r>
      <w:r w:rsidR="00206742" w:rsidRPr="00206742">
        <w:rPr>
          <w:rFonts w:ascii="宋体" w:eastAsia="宋体" w:hAnsi="宋体" w:hint="eastAsia"/>
          <w:b/>
          <w:sz w:val="24"/>
          <w:szCs w:val="24"/>
        </w:rPr>
        <w:t xml:space="preserve"> 主要技术</w:t>
      </w:r>
      <w:r w:rsidRPr="00206742">
        <w:rPr>
          <w:rFonts w:ascii="宋体" w:eastAsia="宋体" w:hAnsi="宋体" w:hint="eastAsia"/>
          <w:b/>
          <w:sz w:val="24"/>
          <w:szCs w:val="24"/>
        </w:rPr>
        <w:t>指标</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(1)明确当前广西高致病性PRRSV流行毒株的基因型和主要基因亚群。</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(2)分离鉴定HP-PRRSV广西地方株3株以上并将其全基因组序列登录到GenBank上。</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(3)建立能正确区分PRRSV经典株和高致病性变异株的多重PCR方法，并应用于检测临床样品和监测样品2800份以上。</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(4)提出高致病性猪繁殖与呼吸综合征（蓝耳病）的综合防控措施，尤其是针对广西选择使用有效的疫苗毒株、种类。</w:t>
      </w:r>
    </w:p>
    <w:p w:rsidR="009D14A5" w:rsidRPr="003B0360" w:rsidRDefault="009D14A5" w:rsidP="009D14A5">
      <w:pPr>
        <w:spacing w:line="360" w:lineRule="auto"/>
        <w:rPr>
          <w:rFonts w:ascii="宋体" w:eastAsia="宋体" w:hAnsi="宋体"/>
          <w:b/>
          <w:sz w:val="24"/>
          <w:szCs w:val="24"/>
        </w:rPr>
      </w:pPr>
      <w:r w:rsidRPr="005B4D1E">
        <w:rPr>
          <w:rFonts w:ascii="宋体" w:eastAsia="宋体" w:hAnsi="宋体" w:hint="eastAsia"/>
          <w:sz w:val="21"/>
          <w:szCs w:val="21"/>
        </w:rPr>
        <w:t xml:space="preserve">   </w:t>
      </w:r>
      <w:r w:rsidRPr="003B0360">
        <w:rPr>
          <w:rFonts w:ascii="宋体" w:eastAsia="宋体" w:hAnsi="宋体" w:hint="eastAsia"/>
          <w:sz w:val="24"/>
          <w:szCs w:val="24"/>
        </w:rPr>
        <w:t xml:space="preserve"> </w:t>
      </w:r>
      <w:r w:rsidRPr="003B0360">
        <w:rPr>
          <w:rFonts w:ascii="宋体" w:eastAsia="宋体" w:hAnsi="宋体" w:hint="eastAsia"/>
          <w:b/>
          <w:sz w:val="24"/>
          <w:szCs w:val="24"/>
        </w:rPr>
        <w:t>完成的各项研究内容</w:t>
      </w:r>
    </w:p>
    <w:p w:rsidR="009D14A5" w:rsidRPr="005B4D1E" w:rsidRDefault="009D14A5" w:rsidP="009D14A5">
      <w:pPr>
        <w:spacing w:line="360" w:lineRule="auto"/>
        <w:rPr>
          <w:rFonts w:ascii="宋体" w:eastAsia="宋体" w:hAnsi="宋体"/>
          <w:b/>
          <w:sz w:val="21"/>
          <w:szCs w:val="21"/>
        </w:rPr>
      </w:pPr>
      <w:r w:rsidRPr="005B4D1E">
        <w:rPr>
          <w:rFonts w:ascii="宋体" w:eastAsia="宋体" w:hAnsi="宋体" w:hint="eastAsia"/>
          <w:b/>
          <w:sz w:val="21"/>
          <w:szCs w:val="21"/>
        </w:rPr>
        <w:t xml:space="preserve">    (1)HP-PRRSV广西流行毒株分析</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取2004-2011年间广西各地疑似病猪的组织血清和／或病料，应用RT-PCR进行PRRSV病原学检测。随机选取部分阳性病料，通过RT-PCR扩增Nsp2、ORF5、ORF7基因序列，并回收扩增产物、克隆、测序。基于Nsp2、ORF5、ORF7序列，进行同源性分析、氨基酸序列比对和遗传进化分析。明确，当前广西PRRSV流行毒株以美洲型变异毒株为主，同时存在美洲型经典毒株，其中美洲型IV亚群为优势基因亚群，并且各毒株间Nsp2、ORF5和ORF7基因序列存在一定差异，但没有明显的地域特征。</w:t>
      </w:r>
    </w:p>
    <w:p w:rsidR="009D14A5" w:rsidRPr="005B4D1E" w:rsidRDefault="009D14A5" w:rsidP="009D14A5">
      <w:pPr>
        <w:spacing w:line="360" w:lineRule="auto"/>
        <w:rPr>
          <w:rFonts w:ascii="宋体" w:eastAsia="宋体" w:hAnsi="宋体"/>
          <w:b/>
          <w:sz w:val="21"/>
          <w:szCs w:val="21"/>
        </w:rPr>
      </w:pPr>
      <w:r w:rsidRPr="005B4D1E">
        <w:rPr>
          <w:rFonts w:ascii="宋体" w:eastAsia="宋体" w:hAnsi="宋体" w:hint="eastAsia"/>
          <w:sz w:val="21"/>
          <w:szCs w:val="21"/>
        </w:rPr>
        <w:lastRenderedPageBreak/>
        <w:t xml:space="preserve">  </w:t>
      </w:r>
      <w:r w:rsidRPr="005B4D1E">
        <w:rPr>
          <w:rFonts w:ascii="宋体" w:eastAsia="宋体" w:hAnsi="宋体" w:hint="eastAsia"/>
          <w:b/>
          <w:sz w:val="21"/>
          <w:szCs w:val="21"/>
        </w:rPr>
        <w:t xml:space="preserve">  (2)HP-PRRSV分离、鉴定及其全基因组序列测定和分析</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采集临床病猪的病料，反复冻融后接种Marc-145细胞，观察CPE，经RT-PCR和间接免疫荧光抗体试验(IFA)鉴定，证实成功分离到3株PRRSV，分别命名为GX1001、GX1002和GX1003。对分离株基因组进行分段扩增、克隆、测序，经拼接后获得GX1001、GX1002及GX1003分离株全基因组序列分别为15329bp、15318bp及15320bp（不包括Poly-A），并将其登录到NCBI GenBank上，登录号分别为JQ955657、JQ955658和JX912249。将3株分离病毒与国内外PRRSV参考毒株进行了同源性分析、氨基酸序列比对及系统进化分析，掌握分离株的基因组分子特征。</w:t>
      </w:r>
    </w:p>
    <w:p w:rsidR="009D14A5" w:rsidRPr="005B4D1E" w:rsidRDefault="009D14A5" w:rsidP="009D14A5">
      <w:pPr>
        <w:spacing w:line="360" w:lineRule="auto"/>
        <w:rPr>
          <w:rFonts w:ascii="宋体" w:eastAsia="宋体" w:hAnsi="宋体"/>
          <w:b/>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 xml:space="preserve"> (3)免疫压力下HP-PRRSV田间流行毒株的遗传进化分析</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根据PRRSV基因组容易发生变异的特点，为掌握猪场内流行毒株自然变异速率，选择2个经PRRSV疫苗免疫和2个自然感染产生抗体的猪场，连续2年，每季度采集母猪、公猪、断乳仔猪、育肥猪的血清以及死亡仔猪的组织，应用ELISA方法检测血清中PRRSV抗体，应用RT-PCR检测血清及病料组织中PRRSV核酸。采集病原阳性组织，应用RT-PCR方法扩增PRRSV Nsp2、ORF5、ORF6及ORF7基因片段，经克隆、测序后获得相应基因的核苷酸序列。分析基因序列的变异情况，研究在免疫压力下PRRSV田间流行毒株的遗传进化规律。</w:t>
      </w:r>
    </w:p>
    <w:p w:rsidR="009D14A5" w:rsidRPr="005B4D1E" w:rsidRDefault="009D14A5" w:rsidP="009D14A5">
      <w:pPr>
        <w:spacing w:line="360" w:lineRule="auto"/>
        <w:rPr>
          <w:rFonts w:ascii="宋体" w:eastAsia="宋体" w:hAnsi="宋体"/>
          <w:b/>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 xml:space="preserve"> (4)HP-PRRSV快速诊断方法的建立及应用</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针对PRRSV基因组序列特点，分别设计特异性引物，优化各种反应条件，成功建立了3种PRRSV病原学快速鉴别诊断方法。一是针对PRRSV基因序列设计3对特异性引物，即第1对通用引物扩增美洲型和欧洲型毒株ORF7基因433bp/398bp片段、第2对引物扩增美洲型经典毒株和变异毒株Nsp2基因338bp/248bp片段、第3对引物扩增欧洲型毒株ORF5基因614bp片段，经过反应条件的优化，建立了能同时检测并区分美洲型经典毒株、变异毒株以及欧洲型毒株的多重RT-PCR检测方法。二是针对CSFV和PRRSV的基因序列设计3对特异性引物，第1对引物扩增CSFV毒株NS2基因508bp片段，第2对引物扩增PRRSV美洲型经典毒株和变异毒株Nsp2基因338bp/248bp片段，第3对引物扩增PRRSV欧洲型毒株ORF5基因614bp片段。经过反应条件的优化，建立了能同时检测并区分CSFV毒株和PRRSV美洲型经典毒株、变异毒株及欧洲型毒株的多重RT-PCR方法。三是针对PRRSV基因序列设计2对特异性引物和3条探针，即第1对通用引物扩增美洲型经典毒株、变异毒株对应于变异毒株Nsp2缺失区域195/108bp，利用2条探针加以区分；第2对引物和第3条探针扩增和检测欧洲型毒株ORFla基因110bp片段。经过反应条件的优化，建立了能同时检测并区分美洲型经典毒株、变异毒株以及欧洲型毒株的多重TaqMan real-timeRT-PCR检测方法。应用所建立的检测技术平台，开展临床样品及屠宰场样品的监测、诊断工作。</w:t>
      </w:r>
    </w:p>
    <w:p w:rsidR="009D14A5" w:rsidRPr="005B4D1E" w:rsidRDefault="009D14A5" w:rsidP="009D14A5">
      <w:pPr>
        <w:spacing w:line="360" w:lineRule="auto"/>
        <w:rPr>
          <w:rFonts w:ascii="宋体" w:eastAsia="宋体" w:hAnsi="宋体"/>
          <w:b/>
          <w:sz w:val="21"/>
          <w:szCs w:val="21"/>
        </w:rPr>
      </w:pPr>
      <w:r w:rsidRPr="005B4D1E">
        <w:rPr>
          <w:rFonts w:ascii="宋体" w:eastAsia="宋体" w:hAnsi="宋体" w:hint="eastAsia"/>
          <w:sz w:val="21"/>
          <w:szCs w:val="21"/>
        </w:rPr>
        <w:lastRenderedPageBreak/>
        <w:t xml:space="preserve">    </w:t>
      </w:r>
      <w:r w:rsidRPr="005B4D1E">
        <w:rPr>
          <w:rFonts w:ascii="宋体" w:eastAsia="宋体" w:hAnsi="宋体" w:hint="eastAsia"/>
          <w:b/>
          <w:sz w:val="21"/>
          <w:szCs w:val="21"/>
        </w:rPr>
        <w:t>(5)HP-PRRSV快速检测方法广西地方标准的制定</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根据国内PRRSV流行毒株已HP-PRRSV为主，但也存在美洲型经典毒株、欧洲型毒株的实际，</w:t>
      </w:r>
      <w:r w:rsidR="00EC0434">
        <w:rPr>
          <w:rFonts w:ascii="宋体" w:eastAsia="宋体" w:hAnsi="宋体" w:hint="eastAsia"/>
          <w:sz w:val="21"/>
          <w:szCs w:val="21"/>
        </w:rPr>
        <w:t>研究</w:t>
      </w:r>
      <w:r w:rsidRPr="005B4D1E">
        <w:rPr>
          <w:rFonts w:ascii="宋体" w:eastAsia="宋体" w:hAnsi="宋体" w:hint="eastAsia"/>
          <w:sz w:val="21"/>
          <w:szCs w:val="21"/>
        </w:rPr>
        <w:t>组经过反复试验，成功建立了能同时检测并区分猪瘟病毒以及PRRSV美洲型经典毒株、变异毒株和欧洲型毒株的多重RT-PCR方法、能同时检测并区分PRRSV美洲型经典毒株、变异毒株及欧洲型毒株的多重荧光定量RT-PCR方法，并将其程序化、标准化，申请广西质量技术监督局同意立项，制定了《猪繁殖与呼吸综合征病毒和猪瘟病毒检测 多重反转录聚合酶链反应法》和《猪繁殖与呼吸综合征病毒美洲型及欧洲型毒株的检测多重荧光定量反转录聚合酶链反应法》2项广西地方标准。</w:t>
      </w:r>
    </w:p>
    <w:p w:rsidR="009D14A5" w:rsidRPr="005B4D1E" w:rsidRDefault="009D14A5" w:rsidP="009D14A5">
      <w:pPr>
        <w:spacing w:line="360" w:lineRule="auto"/>
        <w:rPr>
          <w:rFonts w:ascii="宋体" w:eastAsia="宋体" w:hAnsi="宋体"/>
          <w:b/>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(6)PRRSV感染对仔猪PBMC中Th1、Th2型及凋亡细胞因子表达水平的影响</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根据PRRSV感染可以导致机体发生免疫抑制的特点，为从分子水平研究PRRSV对免疫功能影响的机制，针对猪Th1、Th2型及凋亡细胞因子，分别设计特异性引物，构建含有各自引物扩增序列的重组质粒作为阳性标准品，优化各种反应条件，成功建立了猪Th1型细胞因子IL-2、IL-12p40、IFN-</w:t>
      </w:r>
      <w:r w:rsidRPr="005B4D1E">
        <w:rPr>
          <w:rFonts w:ascii="宋体" w:eastAsia="宋体" w:hAnsi="宋体"/>
          <w:sz w:val="21"/>
          <w:szCs w:val="21"/>
        </w:rPr>
        <w:t>γ</w:t>
      </w:r>
      <w:r w:rsidRPr="005B4D1E">
        <w:rPr>
          <w:rFonts w:ascii="宋体" w:eastAsia="宋体" w:hAnsi="宋体" w:hint="eastAsia"/>
          <w:sz w:val="21"/>
          <w:szCs w:val="21"/>
        </w:rPr>
        <w:t>及Th2型细胞因子IL-6、IL-10、TNF-</w:t>
      </w:r>
      <w:r w:rsidRPr="005B4D1E">
        <w:rPr>
          <w:rFonts w:ascii="宋体" w:eastAsia="宋体" w:hAnsi="宋体" w:cs="Arial"/>
          <w:sz w:val="21"/>
          <w:szCs w:val="21"/>
        </w:rPr>
        <w:t>α</w:t>
      </w:r>
      <w:r w:rsidRPr="005B4D1E">
        <w:rPr>
          <w:rFonts w:ascii="宋体" w:eastAsia="宋体" w:hAnsi="宋体" w:hint="eastAsia"/>
          <w:sz w:val="21"/>
          <w:szCs w:val="21"/>
        </w:rPr>
        <w:t>的SYBR Green I real-time RT-PCR检测方法，以及猪凋亡细胞因子Fas、FasL、TNFR1和TNF-</w:t>
      </w:r>
      <w:r w:rsidRPr="005B4D1E">
        <w:rPr>
          <w:rFonts w:ascii="宋体" w:eastAsia="宋体" w:hAnsi="宋体" w:cs="Arial"/>
          <w:sz w:val="21"/>
          <w:szCs w:val="21"/>
        </w:rPr>
        <w:t>α</w:t>
      </w:r>
      <w:r w:rsidRPr="005B4D1E">
        <w:rPr>
          <w:rFonts w:ascii="宋体" w:eastAsia="宋体" w:hAnsi="宋体" w:hint="eastAsia"/>
          <w:sz w:val="21"/>
          <w:szCs w:val="21"/>
        </w:rPr>
        <w:t>的SYBR Green I real-time RT-PCR检测方法。以PRRSV接种健康仔猪，检测接种后不同时间外周血单核细胞(PBMC)中Th1、Th2型及凋亡细胞因子mRNA表达水平，分析PRRSV感染对仔猪免疫功能影响的分子机制。</w:t>
      </w:r>
    </w:p>
    <w:p w:rsidR="009D14A5" w:rsidRPr="005B4D1E" w:rsidRDefault="009D14A5" w:rsidP="009D14A5">
      <w:pPr>
        <w:spacing w:line="360" w:lineRule="auto"/>
        <w:rPr>
          <w:rFonts w:ascii="宋体" w:eastAsia="宋体" w:hAnsi="宋体"/>
          <w:b/>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(7)HP-PRRS不同种类及毒株疫苗免疫猪群抗体效价的分析</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针对国内猪蓝耳病疫苗种类和毒株较多，既有灭活苗、又有弱毒苗，弱毒苗中既有经典毒株、又有变异毒株，变异毒株中既有JXA1株、又有TJM株、HuN4株等，为评估不同疫苗种类及毒株的免疫效果，选择某种猪场，连续6年，在免疫猪群中按后备母猪、妊娠母猪、产后母猪、保育猪、育肥猪等不同阶段分组，采集不同年龄段猪只的血清，采用ELISA方法，检测PRRSV免疫抗体，获得HP-PRRSV灭活疫苗（变异株JXA1林）、弱毒疫苗（经典株RespPRRSV MLV株、变异株TJM株）免疫猪群在不同日龄的抗体效价，根据猪群抗体阳转率分析疫苗的免疫效果，用于评价不同种类及毒株疫苗的应用价值。</w:t>
      </w:r>
    </w:p>
    <w:p w:rsidR="009D14A5" w:rsidRPr="005B4D1E" w:rsidRDefault="009D14A5" w:rsidP="009D14A5">
      <w:pPr>
        <w:spacing w:line="360" w:lineRule="auto"/>
        <w:rPr>
          <w:rFonts w:ascii="宋体" w:eastAsia="宋体" w:hAnsi="宋体"/>
          <w:b/>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 xml:space="preserve"> (8)HP-PRRS疫苗不同免疫方法对猪群免疫抗体效价的影响</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根据国家农业部的统一要求，各地对口蹄疫、猪瘟、高致病性猪蓝耳病等3种重大疫病实行强制疫苗免疫。为研究3种疫病疫苗间对机体免疫反应的影响，以制定合理的免疫程序，使3种疫苗的免疫效果达到最佳，充分发挥疫苗在防控中的重要作用，将试验猪分组，将3种疫苗按不同的免疫程序进行免疫接种。在接种后不同时间采集血清，应用ELISA方法检测</w:t>
      </w:r>
      <w:r w:rsidRPr="005B4D1E">
        <w:rPr>
          <w:rFonts w:ascii="宋体" w:eastAsia="宋体" w:hAnsi="宋体" w:hint="eastAsia"/>
          <w:sz w:val="21"/>
          <w:szCs w:val="21"/>
        </w:rPr>
        <w:lastRenderedPageBreak/>
        <w:t>PRRSV抗体，应用间接血凝试验检测FMDV抗体、CSFV抗体，分析各种抗体效价，评估免疫效果，确定合理的免疫程序。</w:t>
      </w:r>
    </w:p>
    <w:p w:rsidR="009D14A5" w:rsidRPr="005B4D1E" w:rsidRDefault="009D14A5" w:rsidP="009D14A5">
      <w:pPr>
        <w:spacing w:line="360" w:lineRule="auto"/>
        <w:rPr>
          <w:rFonts w:ascii="宋体" w:eastAsia="宋体" w:hAnsi="宋体"/>
          <w:b/>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(9)HP-PRRS防控及效果评估</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制定和实施HP-PRRS综合防控措施。从倡导科学养殖入手，改善饲养环境，加强综合防控，采用合理的免疫程序。主要做好如下几点：一是加强饲养管理。养猪采用“全进全出”的养殖模式，做好防寒保暖、通风换气，提供充足营养、清洁饮水，保持合理饲养密度，降低应急因素。实行封闭管理，闲杂人员不得进出。二是科学免疫。制定合理的免疫程序，适时做好HP-PRRS的免疫。同时，加强对口蹄疫、猪瘟、猪伪狂犬病、猪乙脑、猪肺疫、猪丹毒、大肠杆菌病、仔猪副伤寒等疫病的免疫接种。三是药物预防。选择适当的预防用抗菌类药物，并制定合理的用药方案，预防猪群的的细菌性感染，提高健康水平。四是严格消毒。注重生物安全措施，进出车辆，人员严格消毒。搞好环境卫生，及时清除猪舍粪便及排泄物，对各种污染物品进行无害化处理。五是规范引种和补栏。引进种猪和仔猪时，要选择从没有发生疫情的地方引进，并按规定进行检疫，防止疫病传入。六是报告疫情。发现病猪后，要立即对病猪进行隔离，并立即报告当地畜牧兽医部门，要在当地兽医的指导下按有关规定处理。七是不宰、不食病死猪。严禁贩卖病、死猪，也不能屠宰病死猪自食，坚决做到对病死猪不流通、不宰杀、不食用。</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突出抓好防控关键环节工作。加强HP-PRRS的防控，突出抓好饲养管理、生物安全、疫苗免疫、疫病诊断、疫情处置、技术培训等重要环节。重点是根据流行病学研究结果，指导广西正确选择临床使用疫苗的种类及毒株，采购并发放全区进行强制性免疫；围绕HP-PRRS防控的关键环节，组织区、市、县、乡、村兽医人员开展技术培训；深入全区各地猪场、村庄开展技术指导、疫情处置；强化实验室软硬件建设及技能培训，提升疫病监测、检测和诊断能力，充分发挥信息系统在HP-PRRS综合防控过程中的重要作用。</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强化防控效果评估。为有效评估HP-PRRS的防控效果，对来自规模场、散养户及屠宰场的血清样品应用ELISA方法进行PRRSV抗体检测，对来自临床的病死猪组织病料、屠宰场的健康猪组织样品应用RT-PCR方法进行PRRSV病原检测，随机选择全区部分县（市、区）的规模场和行政村开展流行病学调查，采取抗体效价检测、病原学监测、流行病学调查等多种手段，从多层次、多角度、全方位综合评估HP-PRRS的防控效果。</w:t>
      </w:r>
    </w:p>
    <w:p w:rsidR="009D14A5" w:rsidRPr="003B0360" w:rsidRDefault="009D14A5" w:rsidP="003B0360">
      <w:pPr>
        <w:spacing w:line="360" w:lineRule="auto"/>
        <w:ind w:firstLineChars="150" w:firstLine="361"/>
        <w:rPr>
          <w:rFonts w:ascii="宋体" w:eastAsia="宋体" w:hAnsi="宋体"/>
          <w:b/>
          <w:sz w:val="24"/>
          <w:szCs w:val="24"/>
        </w:rPr>
      </w:pPr>
      <w:r w:rsidRPr="003B0360">
        <w:rPr>
          <w:rFonts w:ascii="宋体" w:eastAsia="宋体" w:hAnsi="宋体" w:hint="eastAsia"/>
          <w:b/>
          <w:sz w:val="24"/>
          <w:szCs w:val="24"/>
        </w:rPr>
        <w:t>完成的各项指标</w:t>
      </w:r>
    </w:p>
    <w:p w:rsidR="009D14A5" w:rsidRPr="005B4D1E" w:rsidRDefault="009D14A5" w:rsidP="009D14A5">
      <w:pPr>
        <w:wordWrap w:val="0"/>
        <w:spacing w:line="360" w:lineRule="auto"/>
        <w:rPr>
          <w:rFonts w:ascii="宋体" w:eastAsia="宋体" w:hAnsi="宋体"/>
          <w:sz w:val="21"/>
          <w:szCs w:val="21"/>
        </w:rPr>
      </w:pPr>
      <w:r w:rsidRPr="005B4D1E">
        <w:rPr>
          <w:rFonts w:ascii="宋体" w:eastAsia="宋体" w:hAnsi="宋体" w:hint="eastAsia"/>
          <w:sz w:val="21"/>
          <w:szCs w:val="21"/>
        </w:rPr>
        <w:t xml:space="preserve">    (1)通过开展流行病学调查，明确了当前广西PRRSV流行毒株以美洲型变异毒株为主，同时存在美洲型经典毒株，其中美洲型IV亚群为优势基因亚群，并且各毒株间Nsp2、ORF5和ORF7基因序列存在一定差异，但没有明显的地域特征。将获得的124个Nsp2基因序列、</w:t>
      </w:r>
      <w:r w:rsidRPr="005B4D1E">
        <w:rPr>
          <w:rFonts w:ascii="宋体" w:eastAsia="宋体" w:hAnsi="宋体" w:hint="eastAsia"/>
          <w:sz w:val="21"/>
          <w:szCs w:val="21"/>
        </w:rPr>
        <w:lastRenderedPageBreak/>
        <w:t>170个ORF5基因序列、144个ORF6基因序列、177个ORF7基因序列上传到NCBI GenBank上。</w:t>
      </w:r>
    </w:p>
    <w:p w:rsidR="009D14A5" w:rsidRPr="005B4D1E" w:rsidRDefault="009D14A5" w:rsidP="009D14A5">
      <w:pPr>
        <w:wordWrap w:val="0"/>
        <w:spacing w:line="360" w:lineRule="auto"/>
        <w:rPr>
          <w:rFonts w:ascii="宋体" w:eastAsia="宋体" w:hAnsi="宋体"/>
          <w:sz w:val="21"/>
          <w:szCs w:val="21"/>
        </w:rPr>
      </w:pPr>
      <w:r w:rsidRPr="005B4D1E">
        <w:rPr>
          <w:rFonts w:ascii="宋体" w:eastAsia="宋体" w:hAnsi="宋体" w:hint="eastAsia"/>
          <w:sz w:val="21"/>
          <w:szCs w:val="21"/>
        </w:rPr>
        <w:t xml:space="preserve">    (2)分离和鉴定了HP-PRRSV广西地方株3株，对其全基因组分子特征进行分析，并将3株病毒的全基因序列上传到NCBI GenBank上。</w:t>
      </w:r>
    </w:p>
    <w:p w:rsidR="009D14A5" w:rsidRPr="005B4D1E" w:rsidRDefault="009D14A5" w:rsidP="009D14A5">
      <w:pPr>
        <w:wordWrap w:val="0"/>
        <w:spacing w:line="360" w:lineRule="auto"/>
        <w:rPr>
          <w:rFonts w:ascii="宋体" w:eastAsia="宋体" w:hAnsi="宋体"/>
          <w:sz w:val="21"/>
          <w:szCs w:val="21"/>
        </w:rPr>
      </w:pPr>
      <w:r w:rsidRPr="005B4D1E">
        <w:rPr>
          <w:rFonts w:ascii="宋体" w:eastAsia="宋体" w:hAnsi="宋体" w:hint="eastAsia"/>
          <w:sz w:val="21"/>
          <w:szCs w:val="21"/>
        </w:rPr>
        <w:t xml:space="preserve">    (3)研究了在免疫压力下HP-PRRSV田间流行毒株的遗传进化情况，发现PRRSV流行毒株Nsp2、ORF5、ORF6、ORF7基因中，Nsp2基因最容易发生变异，其次是ORF5基因，然后是ORF7基因，而ORF6基因最稳定；免疫猪场中PRRSV流行毒株Nsp2、ORF5、ORF6、ORF7基因的进化速率高于非免疫猪场中PRRSV流行毒株相应基因的进化速率。</w:t>
      </w:r>
    </w:p>
    <w:p w:rsidR="009D14A5" w:rsidRPr="005B4D1E" w:rsidRDefault="009D14A5" w:rsidP="009D14A5">
      <w:pPr>
        <w:wordWrap w:val="0"/>
        <w:spacing w:line="360" w:lineRule="auto"/>
        <w:rPr>
          <w:rFonts w:ascii="宋体" w:eastAsia="宋体" w:hAnsi="宋体"/>
          <w:sz w:val="21"/>
          <w:szCs w:val="21"/>
        </w:rPr>
      </w:pPr>
      <w:r w:rsidRPr="005B4D1E">
        <w:rPr>
          <w:rFonts w:ascii="宋体" w:eastAsia="宋体" w:hAnsi="宋体" w:hint="eastAsia"/>
          <w:sz w:val="21"/>
          <w:szCs w:val="21"/>
        </w:rPr>
        <w:t xml:space="preserve">    (4)建立了3种能同时检测并区分PRRSV美洲型经典毒株、变异株以及欧洲型毒株的多重RT-PCR/real-time RT-PCR方法，为PRRSV的检测和诊断提供了技术平台。并应用于6354份样品的病原学检测。</w:t>
      </w:r>
    </w:p>
    <w:p w:rsidR="009D14A5" w:rsidRPr="005B4D1E" w:rsidRDefault="009D14A5" w:rsidP="009D14A5">
      <w:pPr>
        <w:wordWrap w:val="0"/>
        <w:spacing w:line="360" w:lineRule="auto"/>
        <w:rPr>
          <w:rFonts w:ascii="宋体" w:eastAsia="宋体" w:hAnsi="宋体"/>
          <w:sz w:val="21"/>
          <w:szCs w:val="21"/>
        </w:rPr>
      </w:pPr>
      <w:r w:rsidRPr="005B4D1E">
        <w:rPr>
          <w:rFonts w:ascii="宋体" w:eastAsia="宋体" w:hAnsi="宋体" w:hint="eastAsia"/>
          <w:sz w:val="21"/>
          <w:szCs w:val="21"/>
        </w:rPr>
        <w:t xml:space="preserve">    (5)建立了猪Th1型细胞因子IL-2、IL-12p40、IFN-</w:t>
      </w:r>
      <w:r w:rsidRPr="005B4D1E">
        <w:rPr>
          <w:rFonts w:ascii="宋体" w:eastAsia="宋体" w:hAnsi="宋体"/>
          <w:sz w:val="21"/>
          <w:szCs w:val="21"/>
        </w:rPr>
        <w:t>γ</w:t>
      </w:r>
      <w:r w:rsidRPr="005B4D1E">
        <w:rPr>
          <w:rFonts w:ascii="宋体" w:eastAsia="宋体" w:hAnsi="宋体" w:hint="eastAsia"/>
          <w:sz w:val="21"/>
          <w:szCs w:val="21"/>
        </w:rPr>
        <w:t>、Th2型细胞因子IL-6、IL-10、TNF-</w:t>
      </w:r>
      <w:r w:rsidRPr="005B4D1E">
        <w:rPr>
          <w:rFonts w:ascii="宋体" w:eastAsia="宋体" w:hAnsi="宋体" w:cs="Arial"/>
          <w:sz w:val="21"/>
          <w:szCs w:val="21"/>
        </w:rPr>
        <w:t>α</w:t>
      </w:r>
      <w:r w:rsidRPr="005B4D1E">
        <w:rPr>
          <w:rFonts w:ascii="宋体" w:eastAsia="宋体" w:hAnsi="宋体" w:hint="eastAsia"/>
          <w:sz w:val="21"/>
          <w:szCs w:val="21"/>
        </w:rPr>
        <w:t>以及凋亡细胞因子Fas、FasL、TNFR1和TNF-</w:t>
      </w:r>
      <w:r w:rsidRPr="005B4D1E">
        <w:rPr>
          <w:rFonts w:ascii="宋体" w:eastAsia="宋体" w:hAnsi="宋体" w:cs="Arial"/>
          <w:sz w:val="21"/>
          <w:szCs w:val="21"/>
        </w:rPr>
        <w:t>α</w:t>
      </w:r>
      <w:r w:rsidRPr="005B4D1E">
        <w:rPr>
          <w:rFonts w:ascii="宋体" w:eastAsia="宋体" w:hAnsi="宋体" w:hint="eastAsia"/>
          <w:sz w:val="21"/>
          <w:szCs w:val="21"/>
        </w:rPr>
        <w:t xml:space="preserve"> SYBR Green I real-time PCR检测方法，为细胞因子的检测提供了技术平台。并应用于PRRSV感染仔猪PBMC中这些细胞因子mRNA表达水平的检测。</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(6)评估了高致病性猪蓝耳病、口蹄疫、猪瘟疫苗不同免疫方法对免疫抗体效价的影响，为国家规定需要强制免疫的这3个病种的科学免疫提供了基础数据。</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(7)对HP-PRRSV灭活疫苗（变异株JXA1株）、弱毒疫苗（经典株、变异株TJM株）免疫猪群不同日龄阶段进行免疫抗体监测，评估不同种类及毒株疫苗的免疫效果及应用价值。</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(8)采取抗体效价检测、病原学监测、流行病学调查等多种手段，从多层次、多角度、全方位探索建立并完善了HP-PRRS综合防控效果评价体系。</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(9)制定和实施以抓好饲养管理、生物安全、疫苗免疫、疫病诊断、疫情处置、防控效果评估等为关键环节的综合防控措施。尤其是针对广西流行毒株、疫苗免疫效果评估，及时调整、采购有针对性的JXA1株灭活疫苗、JXA1株弱毒疫苗及TJM株弱毒疫苗。</w:t>
      </w:r>
    </w:p>
    <w:p w:rsidR="009D14A5" w:rsidRPr="003B0360" w:rsidRDefault="009D14A5" w:rsidP="003B0360">
      <w:pPr>
        <w:spacing w:line="360" w:lineRule="auto"/>
        <w:ind w:firstLineChars="200" w:firstLine="482"/>
        <w:rPr>
          <w:rFonts w:ascii="宋体" w:eastAsia="宋体" w:hAnsi="宋体"/>
          <w:b/>
          <w:bCs/>
          <w:sz w:val="24"/>
          <w:szCs w:val="24"/>
        </w:rPr>
      </w:pPr>
      <w:r w:rsidRPr="003B0360">
        <w:rPr>
          <w:rFonts w:ascii="宋体" w:eastAsia="宋体" w:hAnsi="宋体" w:hint="eastAsia"/>
          <w:b/>
          <w:bCs/>
          <w:sz w:val="24"/>
          <w:szCs w:val="24"/>
        </w:rPr>
        <w:t>主要技术路线</w:t>
      </w:r>
    </w:p>
    <w:p w:rsidR="009D14A5" w:rsidRPr="005B4D1E" w:rsidRDefault="009D14A5" w:rsidP="009D14A5">
      <w:pPr>
        <w:spacing w:line="360" w:lineRule="auto"/>
        <w:jc w:val="center"/>
        <w:rPr>
          <w:rFonts w:ascii="宋体" w:eastAsia="宋体" w:hAnsi="宋体"/>
          <w:sz w:val="21"/>
          <w:szCs w:val="21"/>
        </w:rPr>
      </w:pPr>
      <w:r w:rsidRPr="005B4D1E">
        <w:rPr>
          <w:rFonts w:ascii="宋体" w:eastAsia="宋体" w:hAnsi="宋体"/>
          <w:noProof/>
          <w:sz w:val="21"/>
          <w:szCs w:val="21"/>
        </w:rPr>
        <w:lastRenderedPageBreak/>
        <w:drawing>
          <wp:inline distT="0" distB="0" distL="0" distR="0">
            <wp:extent cx="4839335" cy="6513195"/>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 cstate="print"/>
                    <a:srcRect/>
                    <a:stretch>
                      <a:fillRect/>
                    </a:stretch>
                  </pic:blipFill>
                  <pic:spPr bwMode="auto">
                    <a:xfrm>
                      <a:off x="0" y="0"/>
                      <a:ext cx="4839335" cy="6513195"/>
                    </a:xfrm>
                    <a:prstGeom prst="rect">
                      <a:avLst/>
                    </a:prstGeom>
                    <a:noFill/>
                    <a:ln w="9525">
                      <a:noFill/>
                      <a:miter lim="800000"/>
                      <a:headEnd/>
                      <a:tailEnd/>
                    </a:ln>
                  </pic:spPr>
                </pic:pic>
              </a:graphicData>
            </a:graphic>
          </wp:inline>
        </w:drawing>
      </w:r>
    </w:p>
    <w:p w:rsidR="009D14A5" w:rsidRPr="005B4D1E" w:rsidRDefault="009D14A5" w:rsidP="005B4D1E">
      <w:pPr>
        <w:pStyle w:val="1"/>
      </w:pPr>
      <w:bookmarkStart w:id="3" w:name="_Toc405816266"/>
      <w:r w:rsidRPr="005B4D1E">
        <w:rPr>
          <w:rFonts w:hint="eastAsia"/>
        </w:rPr>
        <w:t>HP-PRRSV</w:t>
      </w:r>
      <w:r w:rsidRPr="005B4D1E">
        <w:rPr>
          <w:rFonts w:hint="eastAsia"/>
        </w:rPr>
        <w:t>快速鉴别检测方法</w:t>
      </w:r>
      <w:r w:rsidR="00EC0434">
        <w:rPr>
          <w:rFonts w:hint="eastAsia"/>
        </w:rPr>
        <w:t>的</w:t>
      </w:r>
      <w:r w:rsidR="00EC0434" w:rsidRPr="005B4D1E">
        <w:rPr>
          <w:rFonts w:hint="eastAsia"/>
        </w:rPr>
        <w:t>建立</w:t>
      </w:r>
      <w:bookmarkEnd w:id="3"/>
    </w:p>
    <w:p w:rsidR="009D14A5" w:rsidRPr="005B4D1E" w:rsidRDefault="009D14A5" w:rsidP="005B4D1E">
      <w:pPr>
        <w:pStyle w:val="2"/>
      </w:pPr>
      <w:bookmarkStart w:id="4" w:name="_Toc405816267"/>
      <w:r w:rsidRPr="005B4D1E">
        <w:rPr>
          <w:rFonts w:hint="eastAsia"/>
        </w:rPr>
        <w:t>同时检测并区分美洲型及欧洲型</w:t>
      </w:r>
      <w:r w:rsidRPr="005B4D1E">
        <w:rPr>
          <w:rFonts w:hint="eastAsia"/>
        </w:rPr>
        <w:t>PRRSV</w:t>
      </w:r>
      <w:r w:rsidRPr="005B4D1E">
        <w:rPr>
          <w:rFonts w:hint="eastAsia"/>
        </w:rPr>
        <w:t>的多重</w:t>
      </w:r>
      <w:r w:rsidRPr="005B4D1E">
        <w:rPr>
          <w:rFonts w:hint="eastAsia"/>
        </w:rPr>
        <w:t>RT-PCR</w:t>
      </w:r>
      <w:r w:rsidRPr="005B4D1E">
        <w:rPr>
          <w:rFonts w:hint="eastAsia"/>
        </w:rPr>
        <w:t>检测方法</w:t>
      </w:r>
      <w:r w:rsidR="00EC0434">
        <w:rPr>
          <w:rFonts w:hint="eastAsia"/>
        </w:rPr>
        <w:t>的建立</w:t>
      </w:r>
      <w:bookmarkEnd w:id="4"/>
    </w:p>
    <w:p w:rsidR="009D14A5" w:rsidRPr="005B4D1E" w:rsidRDefault="009D14A5" w:rsidP="005B4D1E">
      <w:pPr>
        <w:wordWrap w:val="0"/>
        <w:spacing w:line="360" w:lineRule="auto"/>
        <w:ind w:firstLineChars="200" w:firstLine="420"/>
        <w:rPr>
          <w:rFonts w:ascii="宋体" w:eastAsia="宋体" w:hAnsi="宋体"/>
          <w:sz w:val="21"/>
          <w:szCs w:val="21"/>
        </w:rPr>
      </w:pPr>
      <w:r w:rsidRPr="005B4D1E">
        <w:rPr>
          <w:rFonts w:ascii="宋体" w:eastAsia="宋体" w:hAnsi="宋体" w:hint="eastAsia"/>
          <w:sz w:val="21"/>
          <w:szCs w:val="21"/>
        </w:rPr>
        <w:t>引物设计与合成：参考GenBank上登录的PRRSV美洲型经典株VR-2332株(AY150564)、高致病性变异株JXA1(EF112445)以及欧洲型LV株(M96262)的基因组序列，设计3对特异性引物（见表1）。其中，CO-ORF7引物对为美洲型及欧洲型毒株通用引物，预期扩增ORF7基因片段的大小在美洲型毒株为433bp、在欧洲型毒株为398bp；AM-Nsp2引物对为美洲型</w:t>
      </w:r>
      <w:r w:rsidRPr="005B4D1E">
        <w:rPr>
          <w:rFonts w:ascii="宋体" w:eastAsia="宋体" w:hAnsi="宋体" w:hint="eastAsia"/>
          <w:sz w:val="21"/>
          <w:szCs w:val="21"/>
        </w:rPr>
        <w:lastRenderedPageBreak/>
        <w:t>毒株特异性引物，预期扩增Nsp2基因片段的大小在经典毒株为338bp、在变异毒株为248bp；EU-ORF5引物对为欧洲型毒株特异性引物，预期扩增ORF5基因片段的大小为614bp。</w:t>
      </w:r>
    </w:p>
    <w:p w:rsidR="009D14A5" w:rsidRPr="005B4D1E" w:rsidRDefault="009D14A5" w:rsidP="003B0360">
      <w:pPr>
        <w:pStyle w:val="a6"/>
        <w:spacing w:before="156"/>
      </w:pPr>
      <w:bookmarkStart w:id="5" w:name="_Toc405816408"/>
      <w:r w:rsidRPr="005B4D1E">
        <w:rPr>
          <w:rFonts w:hint="eastAsia"/>
        </w:rPr>
        <w:t>表</w:t>
      </w:r>
      <w:r w:rsidR="003B0360">
        <w:rPr>
          <w:rFonts w:hint="eastAsia"/>
        </w:rPr>
        <w:t xml:space="preserve">1 </w:t>
      </w:r>
      <w:r w:rsidRPr="005B4D1E">
        <w:rPr>
          <w:rFonts w:hint="eastAsia"/>
        </w:rPr>
        <w:t>多重</w:t>
      </w:r>
      <w:r w:rsidRPr="005B4D1E">
        <w:rPr>
          <w:rFonts w:hint="eastAsia"/>
        </w:rPr>
        <w:t>RT-PCR</w:t>
      </w:r>
      <w:r w:rsidRPr="005B4D1E">
        <w:rPr>
          <w:rFonts w:hint="eastAsia"/>
        </w:rPr>
        <w:t>特异性引物</w:t>
      </w:r>
      <w:bookmarkEnd w:id="5"/>
    </w:p>
    <w:p w:rsidR="009D14A5" w:rsidRPr="005B4D1E" w:rsidRDefault="009D14A5" w:rsidP="009D14A5">
      <w:pPr>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5270500" cy="1561465"/>
            <wp:effectExtent l="19050" t="0" r="635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 cstate="print"/>
                    <a:srcRect/>
                    <a:stretch>
                      <a:fillRect/>
                    </a:stretch>
                  </pic:blipFill>
                  <pic:spPr bwMode="auto">
                    <a:xfrm>
                      <a:off x="0" y="0"/>
                      <a:ext cx="5270500" cy="1561465"/>
                    </a:xfrm>
                    <a:prstGeom prst="rect">
                      <a:avLst/>
                    </a:prstGeom>
                    <a:noFill/>
                    <a:ln w="9525">
                      <a:noFill/>
                      <a:miter lim="800000"/>
                      <a:headEnd/>
                      <a:tailEnd/>
                    </a:ln>
                  </pic:spPr>
                </pic:pic>
              </a:graphicData>
            </a:graphic>
          </wp:inline>
        </w:drawing>
      </w:r>
    </w:p>
    <w:p w:rsidR="009D14A5" w:rsidRPr="005B4D1E" w:rsidRDefault="009D14A5" w:rsidP="009D14A5">
      <w:pPr>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病毒重组质粒标准品制备：</w:t>
      </w:r>
      <w:r w:rsidRPr="005B4D1E">
        <w:rPr>
          <w:rFonts w:ascii="宋体" w:eastAsia="宋体" w:hAnsi="宋体" w:hint="eastAsia"/>
          <w:sz w:val="21"/>
          <w:szCs w:val="21"/>
        </w:rPr>
        <w:t>分别取VR-2332株、JXA1-R株病毒细胞培养夜，用RNA提取试剂盒抽提总RNA后，应用PCR试剂盒反转录获得cDNA。以病毒cDNA或重组质粒p-EU-ORF567为模板，分别应用3对特异性引物进行PCR扩增。反应程序为：</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smartTag>
      <w:r w:rsidRPr="005B4D1E">
        <w:rPr>
          <w:rFonts w:ascii="宋体" w:eastAsia="宋体" w:hAnsi="宋体" w:hint="eastAsia"/>
          <w:sz w:val="21"/>
          <w:szCs w:val="21"/>
        </w:rPr>
        <w:t>2min；</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smartTag>
      <w:r w:rsidRPr="005B4D1E">
        <w:rPr>
          <w:rFonts w:ascii="宋体" w:eastAsia="宋体" w:hAnsi="宋体" w:hint="eastAsia"/>
          <w:sz w:val="21"/>
          <w:szCs w:val="21"/>
        </w:rPr>
        <w:t>30s、</w:t>
      </w:r>
      <w:smartTag w:uri="urn:schemas-microsoft-com:office:smarttags" w:element="chmetcnv">
        <w:smartTagPr>
          <w:attr w:name="TCSC" w:val="0"/>
          <w:attr w:name="NumberType" w:val="1"/>
          <w:attr w:name="Negative" w:val="False"/>
          <w:attr w:name="HasSpace" w:val="False"/>
          <w:attr w:name="SourceValue" w:val="56"/>
          <w:attr w:name="UnitName" w:val="℃"/>
        </w:smartTagPr>
        <w:r w:rsidRPr="005B4D1E">
          <w:rPr>
            <w:rFonts w:ascii="宋体" w:eastAsia="宋体" w:hAnsi="宋体" w:hint="eastAsia"/>
            <w:sz w:val="21"/>
            <w:szCs w:val="21"/>
          </w:rPr>
          <w:t>56</w:t>
        </w:r>
        <w:r w:rsidRPr="005B4D1E">
          <w:rPr>
            <w:rFonts w:ascii="宋体" w:eastAsia="宋体" w:hAnsi="宋体" w:cs="Arial"/>
            <w:sz w:val="21"/>
            <w:szCs w:val="21"/>
          </w:rPr>
          <w:t>℃</w:t>
        </w:r>
      </w:smartTag>
      <w:r w:rsidRPr="005B4D1E">
        <w:rPr>
          <w:rFonts w:ascii="宋体" w:eastAsia="宋体" w:hAnsi="宋体" w:hint="eastAsia"/>
          <w:sz w:val="21"/>
          <w:szCs w:val="21"/>
        </w:rPr>
        <w:t>～</w:t>
      </w:r>
      <w:smartTag w:uri="urn:schemas-microsoft-com:office:smarttags" w:element="chmetcnv">
        <w:smartTagPr>
          <w:attr w:name="TCSC" w:val="0"/>
          <w:attr w:name="NumberType" w:val="1"/>
          <w:attr w:name="Negative" w:val="False"/>
          <w:attr w:name="HasSpace" w:val="False"/>
          <w:attr w:name="SourceValue" w:val="58"/>
          <w:attr w:name="UnitName" w:val="℃"/>
        </w:smartTagPr>
        <w:r w:rsidRPr="005B4D1E">
          <w:rPr>
            <w:rFonts w:ascii="宋体" w:eastAsia="宋体" w:hAnsi="宋体" w:hint="eastAsia"/>
            <w:sz w:val="21"/>
            <w:szCs w:val="21"/>
          </w:rPr>
          <w:t>58℃</w:t>
        </w:r>
      </w:smartTag>
      <w:r w:rsidRPr="005B4D1E">
        <w:rPr>
          <w:rFonts w:ascii="宋体" w:eastAsia="宋体" w:hAnsi="宋体" w:hint="eastAsia"/>
          <w:sz w:val="21"/>
          <w:szCs w:val="21"/>
        </w:rPr>
        <w:t>30s、</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45s，35个循环；最后</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10min。回收PCR产物、连接pMD18-T载体、转化DH5</w:t>
      </w:r>
      <w:r w:rsidRPr="005B4D1E">
        <w:rPr>
          <w:rFonts w:ascii="宋体" w:eastAsia="宋体" w:hAnsi="宋体" w:cs="Arial"/>
          <w:sz w:val="21"/>
          <w:szCs w:val="21"/>
        </w:rPr>
        <w:t>α</w:t>
      </w:r>
      <w:r w:rsidRPr="005B4D1E">
        <w:rPr>
          <w:rFonts w:ascii="宋体" w:eastAsia="宋体" w:hAnsi="宋体" w:hint="eastAsia"/>
          <w:sz w:val="21"/>
          <w:szCs w:val="21"/>
        </w:rPr>
        <w:t>感受态细胞、培养后提取重组质粒进行PCR、酶切及测序鉴定。本研究共构建5种重组质粒，其中由引物CO-ORF7扩增产物构建的重组质粒分别命名为p-AM-ORF7、p-EU-ORF7，引物AM-Nsp2扩增产物构建的重组质粒分别命名为p-Nsp2-VR2332、p-Nsp2-JXA1，引物EU-ORF5扩增产物构建的重组质粒命名为p-EU-ORF5（图1）。含有美洲型PRRSV株ORF5基因的重组质粒p-AM-ORF5、分别含有欧洲型病毒株Nsp2基因、ORF567基因的重组质粒p-EU-ORFla、p-EU-ORF567由北京畜牧兽医研究所兽医研究室惠赠。</w:t>
      </w:r>
    </w:p>
    <w:p w:rsidR="009D14A5" w:rsidRPr="005B4D1E" w:rsidRDefault="009D14A5" w:rsidP="009D14A5">
      <w:pPr>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5270500" cy="1725295"/>
            <wp:effectExtent l="1905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 cstate="print"/>
                    <a:srcRect/>
                    <a:stretch>
                      <a:fillRect/>
                    </a:stretch>
                  </pic:blipFill>
                  <pic:spPr bwMode="auto">
                    <a:xfrm>
                      <a:off x="0" y="0"/>
                      <a:ext cx="5270500" cy="1725295"/>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M：DNA标准DL 1500；1：EcoR I+Hind III酶切产物；2：PCR产物</w:t>
      </w:r>
    </w:p>
    <w:p w:rsidR="009D14A5" w:rsidRPr="005B4D1E" w:rsidRDefault="009D14A5" w:rsidP="003B0360">
      <w:pPr>
        <w:pStyle w:val="a5"/>
        <w:spacing w:after="156"/>
      </w:pPr>
      <w:bookmarkStart w:id="6" w:name="_Toc405816305"/>
      <w:r w:rsidRPr="005B4D1E">
        <w:rPr>
          <w:rFonts w:hint="eastAsia"/>
        </w:rPr>
        <w:t>图</w:t>
      </w:r>
      <w:r w:rsidR="003B0360">
        <w:rPr>
          <w:rFonts w:hint="eastAsia"/>
        </w:rPr>
        <w:t xml:space="preserve">1 </w:t>
      </w:r>
      <w:r w:rsidRPr="005B4D1E">
        <w:rPr>
          <w:rFonts w:hint="eastAsia"/>
        </w:rPr>
        <w:t>重组质粒鉴定</w:t>
      </w:r>
      <w:bookmarkEnd w:id="6"/>
    </w:p>
    <w:p w:rsidR="009D14A5" w:rsidRPr="005B4D1E" w:rsidRDefault="009D14A5" w:rsidP="005B4D1E">
      <w:pPr>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多重PCR退火温度的确定：</w:t>
      </w:r>
      <w:r w:rsidRPr="005B4D1E">
        <w:rPr>
          <w:rFonts w:ascii="宋体" w:eastAsia="宋体" w:hAnsi="宋体" w:hint="eastAsia"/>
          <w:sz w:val="21"/>
          <w:szCs w:val="21"/>
        </w:rPr>
        <w:t xml:space="preserve">建立50 </w:t>
      </w:r>
      <w:r w:rsidRPr="005B4D1E">
        <w:rPr>
          <w:rFonts w:ascii="宋体" w:eastAsia="宋体" w:hAnsi="宋体"/>
          <w:sz w:val="21"/>
          <w:szCs w:val="21"/>
        </w:rPr>
        <w:t>µ</w:t>
      </w:r>
      <w:r w:rsidRPr="005B4D1E">
        <w:rPr>
          <w:rFonts w:ascii="宋体" w:eastAsia="宋体" w:hAnsi="宋体" w:hint="eastAsia"/>
          <w:sz w:val="21"/>
          <w:szCs w:val="21"/>
        </w:rPr>
        <w:t xml:space="preserve">L PCR反应体系：5×RT buffer 10 </w:t>
      </w:r>
      <w:r w:rsidRPr="005B4D1E">
        <w:rPr>
          <w:rFonts w:ascii="宋体" w:eastAsia="宋体" w:hAnsi="宋体"/>
          <w:sz w:val="21"/>
          <w:szCs w:val="21"/>
        </w:rPr>
        <w:t>µ</w:t>
      </w:r>
      <w:r w:rsidRPr="005B4D1E">
        <w:rPr>
          <w:rFonts w:ascii="宋体" w:eastAsia="宋体" w:hAnsi="宋体" w:hint="eastAsia"/>
          <w:sz w:val="21"/>
          <w:szCs w:val="21"/>
        </w:rPr>
        <w:t>L，Ex Taq HS聚合酶（5U/</w:t>
      </w:r>
      <w:r w:rsidRPr="005B4D1E">
        <w:rPr>
          <w:rFonts w:ascii="宋体" w:eastAsia="宋体" w:hAnsi="宋体"/>
          <w:sz w:val="21"/>
          <w:szCs w:val="21"/>
        </w:rPr>
        <w:t>µ</w:t>
      </w:r>
      <w:r w:rsidRPr="005B4D1E">
        <w:rPr>
          <w:rFonts w:ascii="宋体" w:eastAsia="宋体" w:hAnsi="宋体" w:hint="eastAsia"/>
          <w:sz w:val="21"/>
          <w:szCs w:val="21"/>
        </w:rPr>
        <w:t>L）0.25</w:t>
      </w:r>
      <w:r w:rsidRPr="005B4D1E">
        <w:rPr>
          <w:rFonts w:ascii="宋体" w:eastAsia="宋体" w:hAnsi="宋体"/>
          <w:sz w:val="21"/>
          <w:szCs w:val="21"/>
        </w:rPr>
        <w:t>µ</w:t>
      </w:r>
      <w:r w:rsidRPr="005B4D1E">
        <w:rPr>
          <w:rFonts w:ascii="宋体" w:eastAsia="宋体" w:hAnsi="宋体" w:hint="eastAsia"/>
          <w:sz w:val="21"/>
          <w:szCs w:val="21"/>
        </w:rPr>
        <w:t>L，3对特异性引物(25pmol/</w:t>
      </w:r>
      <w:r w:rsidRPr="005B4D1E">
        <w:rPr>
          <w:rFonts w:ascii="宋体" w:eastAsia="宋体" w:hAnsi="宋体"/>
          <w:sz w:val="21"/>
          <w:szCs w:val="21"/>
        </w:rPr>
        <w:t>µ</w:t>
      </w:r>
      <w:r w:rsidRPr="005B4D1E">
        <w:rPr>
          <w:rFonts w:ascii="宋体" w:eastAsia="宋体" w:hAnsi="宋体" w:hint="eastAsia"/>
          <w:sz w:val="21"/>
          <w:szCs w:val="21"/>
        </w:rPr>
        <w:t>L)各0.5</w:t>
      </w:r>
      <w:r w:rsidRPr="005B4D1E">
        <w:rPr>
          <w:rFonts w:ascii="宋体" w:eastAsia="宋体" w:hAnsi="宋体"/>
          <w:sz w:val="21"/>
          <w:szCs w:val="21"/>
        </w:rPr>
        <w:t>µ</w:t>
      </w:r>
      <w:r w:rsidRPr="005B4D1E">
        <w:rPr>
          <w:rFonts w:ascii="宋体" w:eastAsia="宋体" w:hAnsi="宋体" w:hint="eastAsia"/>
          <w:sz w:val="21"/>
          <w:szCs w:val="21"/>
        </w:rPr>
        <w:t>L，等比例混合的5种重组质粒5</w:t>
      </w:r>
      <w:r w:rsidRPr="005B4D1E">
        <w:rPr>
          <w:rFonts w:ascii="宋体" w:eastAsia="宋体" w:hAnsi="宋体"/>
          <w:sz w:val="21"/>
          <w:szCs w:val="21"/>
        </w:rPr>
        <w:t>µ</w:t>
      </w:r>
      <w:r w:rsidRPr="005B4D1E">
        <w:rPr>
          <w:rFonts w:ascii="宋体" w:eastAsia="宋体" w:hAnsi="宋体" w:hint="eastAsia"/>
          <w:sz w:val="21"/>
          <w:szCs w:val="21"/>
        </w:rPr>
        <w:t>L，灭菌双蒸水补至50</w:t>
      </w:r>
      <w:r w:rsidRPr="005B4D1E">
        <w:rPr>
          <w:rFonts w:ascii="宋体" w:eastAsia="宋体" w:hAnsi="宋体"/>
          <w:sz w:val="21"/>
          <w:szCs w:val="21"/>
        </w:rPr>
        <w:t>µ</w:t>
      </w:r>
      <w:r w:rsidRPr="005B4D1E">
        <w:rPr>
          <w:rFonts w:ascii="宋体" w:eastAsia="宋体" w:hAnsi="宋体" w:hint="eastAsia"/>
          <w:sz w:val="21"/>
          <w:szCs w:val="21"/>
        </w:rPr>
        <w:t>L。在55.1</w:t>
      </w:r>
      <w:r w:rsidRPr="005B4D1E">
        <w:rPr>
          <w:rFonts w:ascii="宋体" w:eastAsia="宋体" w:hAnsi="宋体" w:cs="Arial"/>
          <w:sz w:val="21"/>
          <w:szCs w:val="21"/>
        </w:rPr>
        <w:t>℃</w:t>
      </w:r>
      <w:r w:rsidRPr="005B4D1E">
        <w:rPr>
          <w:rFonts w:ascii="宋体" w:eastAsia="宋体" w:hAnsi="宋体" w:hint="eastAsia"/>
          <w:sz w:val="21"/>
          <w:szCs w:val="21"/>
        </w:rPr>
        <w:t>～</w:t>
      </w:r>
      <w:smartTag w:uri="urn:schemas-microsoft-com:office:smarttags" w:element="chmetcnv">
        <w:smartTagPr>
          <w:attr w:name="TCSC" w:val="0"/>
          <w:attr w:name="NumberType" w:val="1"/>
          <w:attr w:name="Negative" w:val="False"/>
          <w:attr w:name="HasSpace" w:val="False"/>
          <w:attr w:name="SourceValue" w:val="60"/>
          <w:attr w:name="UnitName" w:val="℃"/>
        </w:smartTagPr>
        <w:r w:rsidRPr="005B4D1E">
          <w:rPr>
            <w:rFonts w:ascii="宋体" w:eastAsia="宋体" w:hAnsi="宋体" w:hint="eastAsia"/>
            <w:sz w:val="21"/>
            <w:szCs w:val="21"/>
          </w:rPr>
          <w:t>60℃</w:t>
        </w:r>
      </w:smartTag>
      <w:r w:rsidRPr="005B4D1E">
        <w:rPr>
          <w:rFonts w:ascii="宋体" w:eastAsia="宋体" w:hAnsi="宋体" w:hint="eastAsia"/>
          <w:sz w:val="21"/>
          <w:szCs w:val="21"/>
        </w:rPr>
        <w:t>间设定6个退火温度进行梯度PCR，确定最</w:t>
      </w:r>
      <w:r w:rsidRPr="005B4D1E">
        <w:rPr>
          <w:rFonts w:ascii="宋体" w:eastAsia="宋体" w:hAnsi="宋体" w:hint="eastAsia"/>
          <w:sz w:val="21"/>
          <w:szCs w:val="21"/>
        </w:rPr>
        <w:lastRenderedPageBreak/>
        <w:t>佳退火温度。结果见图2。各个退火温度均能扩增出条带，在</w:t>
      </w:r>
      <w:smartTag w:uri="urn:schemas-microsoft-com:office:smarttags" w:element="chmetcnv">
        <w:smartTagPr>
          <w:attr w:name="TCSC" w:val="0"/>
          <w:attr w:name="NumberType" w:val="1"/>
          <w:attr w:name="Negative" w:val="False"/>
          <w:attr w:name="HasSpace" w:val="False"/>
          <w:attr w:name="SourceValue" w:val="56.2"/>
          <w:attr w:name="UnitName" w:val="℃"/>
        </w:smartTagPr>
        <w:r w:rsidRPr="005B4D1E">
          <w:rPr>
            <w:rFonts w:ascii="宋体" w:eastAsia="宋体" w:hAnsi="宋体" w:hint="eastAsia"/>
            <w:sz w:val="21"/>
            <w:szCs w:val="21"/>
          </w:rPr>
          <w:t>56.2℃</w:t>
        </w:r>
      </w:smartTag>
      <w:r w:rsidRPr="005B4D1E">
        <w:rPr>
          <w:rFonts w:ascii="宋体" w:eastAsia="宋体" w:hAnsi="宋体" w:hint="eastAsia"/>
          <w:sz w:val="21"/>
          <w:szCs w:val="21"/>
        </w:rPr>
        <w:t>条带最清晰，且无非特异性条带，确定为最佳退火温度。</w:t>
      </w:r>
    </w:p>
    <w:p w:rsidR="009D14A5" w:rsidRPr="005B4D1E" w:rsidRDefault="009D14A5" w:rsidP="009D14A5">
      <w:pPr>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2984500" cy="1898015"/>
            <wp:effectExtent l="19050" t="0" r="635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 cstate="print"/>
                    <a:srcRect/>
                    <a:stretch>
                      <a:fillRect/>
                    </a:stretch>
                  </pic:blipFill>
                  <pic:spPr bwMode="auto">
                    <a:xfrm>
                      <a:off x="0" y="0"/>
                      <a:ext cx="2984500" cy="1898015"/>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M:DNA标准DL1500；1：</w:t>
      </w:r>
      <w:smartTag w:uri="urn:schemas-microsoft-com:office:smarttags" w:element="chmetcnv">
        <w:smartTagPr>
          <w:attr w:name="TCSC" w:val="0"/>
          <w:attr w:name="NumberType" w:val="1"/>
          <w:attr w:name="Negative" w:val="False"/>
          <w:attr w:name="HasSpace" w:val="False"/>
          <w:attr w:name="SourceValue" w:val="55.1"/>
          <w:attr w:name="UnitName" w:val="℃"/>
        </w:smartTagPr>
        <w:r w:rsidRPr="005B4D1E">
          <w:rPr>
            <w:rFonts w:ascii="宋体" w:eastAsia="宋体" w:hAnsi="宋体" w:hint="eastAsia"/>
            <w:sz w:val="21"/>
            <w:szCs w:val="21"/>
          </w:rPr>
          <w:t>55.1℃</w:t>
        </w:r>
      </w:smartTag>
      <w:r w:rsidRPr="005B4D1E">
        <w:rPr>
          <w:rFonts w:ascii="宋体" w:eastAsia="宋体" w:hAnsi="宋体" w:hint="eastAsia"/>
          <w:sz w:val="21"/>
          <w:szCs w:val="21"/>
        </w:rPr>
        <w:t>；2：</w:t>
      </w:r>
      <w:smartTag w:uri="urn:schemas-microsoft-com:office:smarttags" w:element="chmetcnv">
        <w:smartTagPr>
          <w:attr w:name="TCSC" w:val="0"/>
          <w:attr w:name="NumberType" w:val="1"/>
          <w:attr w:name="Negative" w:val="False"/>
          <w:attr w:name="HasSpace" w:val="False"/>
          <w:attr w:name="SourceValue" w:val="56.2"/>
          <w:attr w:name="UnitName" w:val="℃"/>
        </w:smartTagPr>
        <w:r w:rsidRPr="005B4D1E">
          <w:rPr>
            <w:rFonts w:ascii="宋体" w:eastAsia="宋体" w:hAnsi="宋体" w:hint="eastAsia"/>
            <w:sz w:val="21"/>
            <w:szCs w:val="21"/>
          </w:rPr>
          <w:t>56.2℃</w:t>
        </w:r>
      </w:smartTag>
      <w:r w:rsidRPr="005B4D1E">
        <w:rPr>
          <w:rFonts w:ascii="宋体" w:eastAsia="宋体" w:hAnsi="宋体" w:hint="eastAsia"/>
          <w:sz w:val="21"/>
          <w:szCs w:val="21"/>
        </w:rPr>
        <w:t>；3：</w:t>
      </w:r>
      <w:smartTag w:uri="urn:schemas-microsoft-com:office:smarttags" w:element="chmetcnv">
        <w:smartTagPr>
          <w:attr w:name="TCSC" w:val="0"/>
          <w:attr w:name="NumberType" w:val="1"/>
          <w:attr w:name="Negative" w:val="False"/>
          <w:attr w:name="HasSpace" w:val="False"/>
          <w:attr w:name="SourceValue" w:val="57.3"/>
          <w:attr w:name="UnitName" w:val="℃"/>
        </w:smartTagPr>
        <w:r w:rsidRPr="005B4D1E">
          <w:rPr>
            <w:rFonts w:ascii="宋体" w:eastAsia="宋体" w:hAnsi="宋体" w:hint="eastAsia"/>
            <w:sz w:val="21"/>
            <w:szCs w:val="21"/>
          </w:rPr>
          <w:t>57.3℃</w:t>
        </w:r>
      </w:smartTag>
      <w:r w:rsidRPr="005B4D1E">
        <w:rPr>
          <w:rFonts w:ascii="宋体" w:eastAsia="宋体" w:hAnsi="宋体" w:hint="eastAsia"/>
          <w:sz w:val="21"/>
          <w:szCs w:val="21"/>
        </w:rPr>
        <w:t>；4：</w:t>
      </w:r>
      <w:smartTag w:uri="urn:schemas-microsoft-com:office:smarttags" w:element="chmetcnv">
        <w:smartTagPr>
          <w:attr w:name="TCSC" w:val="0"/>
          <w:attr w:name="NumberType" w:val="1"/>
          <w:attr w:name="Negative" w:val="False"/>
          <w:attr w:name="HasSpace" w:val="False"/>
          <w:attr w:name="SourceValue" w:val="58.4"/>
          <w:attr w:name="UnitName" w:val="℃"/>
        </w:smartTagPr>
        <w:r w:rsidRPr="005B4D1E">
          <w:rPr>
            <w:rFonts w:ascii="宋体" w:eastAsia="宋体" w:hAnsi="宋体" w:hint="eastAsia"/>
            <w:sz w:val="21"/>
            <w:szCs w:val="21"/>
          </w:rPr>
          <w:t>58.4℃</w:t>
        </w:r>
      </w:smartTag>
      <w:r w:rsidRPr="005B4D1E">
        <w:rPr>
          <w:rFonts w:ascii="宋体" w:eastAsia="宋体" w:hAnsi="宋体" w:hint="eastAsia"/>
          <w:sz w:val="21"/>
          <w:szCs w:val="21"/>
        </w:rPr>
        <w:t>；5：</w:t>
      </w:r>
      <w:smartTag w:uri="urn:schemas-microsoft-com:office:smarttags" w:element="chmetcnv">
        <w:smartTagPr>
          <w:attr w:name="TCSC" w:val="0"/>
          <w:attr w:name="NumberType" w:val="1"/>
          <w:attr w:name="Negative" w:val="False"/>
          <w:attr w:name="HasSpace" w:val="False"/>
          <w:attr w:name="SourceValue" w:val="58.9"/>
          <w:attr w:name="UnitName" w:val="℃"/>
        </w:smartTagPr>
        <w:r w:rsidRPr="005B4D1E">
          <w:rPr>
            <w:rFonts w:ascii="宋体" w:eastAsia="宋体" w:hAnsi="宋体" w:hint="eastAsia"/>
            <w:sz w:val="21"/>
            <w:szCs w:val="21"/>
          </w:rPr>
          <w:t>58.9℃</w:t>
        </w:r>
      </w:smartTag>
      <w:r w:rsidRPr="005B4D1E">
        <w:rPr>
          <w:rFonts w:ascii="宋体" w:eastAsia="宋体" w:hAnsi="宋体" w:hint="eastAsia"/>
          <w:sz w:val="21"/>
          <w:szCs w:val="21"/>
        </w:rPr>
        <w:t>；6：</w:t>
      </w:r>
      <w:smartTag w:uri="urn:schemas-microsoft-com:office:smarttags" w:element="chmetcnv">
        <w:smartTagPr>
          <w:attr w:name="TCSC" w:val="0"/>
          <w:attr w:name="NumberType" w:val="1"/>
          <w:attr w:name="Negative" w:val="False"/>
          <w:attr w:name="HasSpace" w:val="False"/>
          <w:attr w:name="SourceValue" w:val="60"/>
          <w:attr w:name="UnitName" w:val="℃"/>
        </w:smartTagPr>
        <w:r w:rsidRPr="005B4D1E">
          <w:rPr>
            <w:rFonts w:ascii="宋体" w:eastAsia="宋体" w:hAnsi="宋体" w:hint="eastAsia"/>
            <w:sz w:val="21"/>
            <w:szCs w:val="21"/>
          </w:rPr>
          <w:t>60℃</w:t>
        </w:r>
      </w:smartTag>
      <w:r w:rsidRPr="005B4D1E">
        <w:rPr>
          <w:rFonts w:ascii="宋体" w:eastAsia="宋体" w:hAnsi="宋体" w:hint="eastAsia"/>
          <w:sz w:val="21"/>
          <w:szCs w:val="21"/>
        </w:rPr>
        <w:t>；7：阴性对照</w:t>
      </w:r>
    </w:p>
    <w:p w:rsidR="009D14A5" w:rsidRPr="005B4D1E" w:rsidRDefault="009D14A5" w:rsidP="003B0360">
      <w:pPr>
        <w:pStyle w:val="a5"/>
        <w:spacing w:after="156"/>
      </w:pPr>
      <w:bookmarkStart w:id="7" w:name="_Toc405816306"/>
      <w:r w:rsidRPr="005B4D1E">
        <w:rPr>
          <w:rFonts w:hint="eastAsia"/>
        </w:rPr>
        <w:t>图</w:t>
      </w:r>
      <w:r w:rsidR="003B0360">
        <w:rPr>
          <w:rFonts w:hint="eastAsia"/>
        </w:rPr>
        <w:t xml:space="preserve">2 </w:t>
      </w:r>
      <w:r w:rsidRPr="005B4D1E">
        <w:rPr>
          <w:rFonts w:hint="eastAsia"/>
        </w:rPr>
        <w:t>退火温度的优化</w:t>
      </w:r>
      <w:bookmarkEnd w:id="7"/>
    </w:p>
    <w:p w:rsidR="009D14A5" w:rsidRPr="005B4D1E" w:rsidRDefault="009D14A5" w:rsidP="005B4D1E">
      <w:pPr>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多重PCR引物浓度的确定：</w:t>
      </w:r>
      <w:r w:rsidRPr="005B4D1E">
        <w:rPr>
          <w:rFonts w:ascii="宋体" w:eastAsia="宋体" w:hAnsi="宋体" w:hint="eastAsia"/>
          <w:sz w:val="21"/>
          <w:szCs w:val="21"/>
        </w:rPr>
        <w:t>建立50</w:t>
      </w:r>
      <w:r w:rsidRPr="005B4D1E">
        <w:rPr>
          <w:rFonts w:ascii="宋体" w:eastAsia="宋体" w:hAnsi="宋体"/>
          <w:sz w:val="21"/>
          <w:szCs w:val="21"/>
        </w:rPr>
        <w:t>µ</w:t>
      </w:r>
      <w:r w:rsidRPr="005B4D1E">
        <w:rPr>
          <w:rFonts w:ascii="宋体" w:eastAsia="宋体" w:hAnsi="宋体" w:hint="eastAsia"/>
          <w:sz w:val="21"/>
          <w:szCs w:val="21"/>
        </w:rPr>
        <w:t>L PCR反应体系，按3对引物反应终浓度分别为0.125、0.25、0.375、0.5、0.875pmol/</w:t>
      </w:r>
      <w:r w:rsidRPr="005B4D1E">
        <w:rPr>
          <w:rFonts w:ascii="宋体" w:eastAsia="宋体" w:hAnsi="宋体"/>
          <w:sz w:val="21"/>
          <w:szCs w:val="21"/>
        </w:rPr>
        <w:t>µ</w:t>
      </w:r>
      <w:r w:rsidRPr="005B4D1E">
        <w:rPr>
          <w:rFonts w:ascii="宋体" w:eastAsia="宋体" w:hAnsi="宋体" w:hint="eastAsia"/>
          <w:sz w:val="21"/>
          <w:szCs w:val="21"/>
        </w:rPr>
        <w:t>L稀释，进行不同浓度的排列组合，固定其它条件不变，进行PCR，确定最佳引物浓度。最终，确定各对引物的最佳浓度（反应终浓度）：CO-ORF7为0.25pmol/</w:t>
      </w:r>
      <w:r w:rsidRPr="005B4D1E">
        <w:rPr>
          <w:rFonts w:ascii="宋体" w:eastAsia="宋体" w:hAnsi="宋体"/>
          <w:sz w:val="21"/>
          <w:szCs w:val="21"/>
        </w:rPr>
        <w:t>µ</w:t>
      </w:r>
      <w:r w:rsidRPr="005B4D1E">
        <w:rPr>
          <w:rFonts w:ascii="宋体" w:eastAsia="宋体" w:hAnsi="宋体" w:hint="eastAsia"/>
          <w:sz w:val="21"/>
          <w:szCs w:val="21"/>
        </w:rPr>
        <w:t>L、AM-Nsp2为0.5pmol/</w:t>
      </w:r>
      <w:r w:rsidRPr="005B4D1E">
        <w:rPr>
          <w:rFonts w:ascii="宋体" w:eastAsia="宋体" w:hAnsi="宋体"/>
          <w:sz w:val="21"/>
          <w:szCs w:val="21"/>
        </w:rPr>
        <w:t>µ</w:t>
      </w:r>
      <w:r w:rsidRPr="005B4D1E">
        <w:rPr>
          <w:rFonts w:ascii="宋体" w:eastAsia="宋体" w:hAnsi="宋体" w:hint="eastAsia"/>
          <w:sz w:val="21"/>
          <w:szCs w:val="21"/>
        </w:rPr>
        <w:t>L、EU-ORF5为0.5pmol/</w:t>
      </w:r>
      <w:r w:rsidRPr="005B4D1E">
        <w:rPr>
          <w:rFonts w:ascii="宋体" w:eastAsia="宋体" w:hAnsi="宋体"/>
          <w:sz w:val="21"/>
          <w:szCs w:val="21"/>
        </w:rPr>
        <w:t>µ</w:t>
      </w:r>
      <w:r w:rsidRPr="005B4D1E">
        <w:rPr>
          <w:rFonts w:ascii="宋体" w:eastAsia="宋体" w:hAnsi="宋体" w:hint="eastAsia"/>
          <w:sz w:val="21"/>
          <w:szCs w:val="21"/>
        </w:rPr>
        <w:t>L。部分结果见图3。</w:t>
      </w:r>
    </w:p>
    <w:p w:rsidR="009D14A5" w:rsidRPr="005B4D1E" w:rsidRDefault="009D14A5" w:rsidP="009D14A5">
      <w:pPr>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2415540" cy="2078990"/>
            <wp:effectExtent l="19050" t="0" r="381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4" cstate="print"/>
                    <a:srcRect/>
                    <a:stretch>
                      <a:fillRect/>
                    </a:stretch>
                  </pic:blipFill>
                  <pic:spPr bwMode="auto">
                    <a:xfrm>
                      <a:off x="0" y="0"/>
                      <a:ext cx="2415540" cy="2078990"/>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M：DNA标准DL1 500；1-4：AM-Nsp2引物和EU-ORF5引物浓度为0.5pmol／</w:t>
      </w:r>
      <w:r w:rsidRPr="005B4D1E">
        <w:rPr>
          <w:rFonts w:ascii="宋体" w:eastAsia="宋体" w:hAnsi="宋体"/>
          <w:sz w:val="21"/>
          <w:szCs w:val="21"/>
        </w:rPr>
        <w:t>µ</w:t>
      </w:r>
      <w:r w:rsidRPr="005B4D1E">
        <w:rPr>
          <w:rFonts w:ascii="宋体" w:eastAsia="宋体" w:hAnsi="宋体" w:hint="eastAsia"/>
          <w:sz w:val="21"/>
          <w:szCs w:val="21"/>
        </w:rPr>
        <w:t>L，CO-ORF7引物浓度分别为0.125，0.25，0.375和0.5pmol/</w:t>
      </w:r>
      <w:r w:rsidRPr="005B4D1E">
        <w:rPr>
          <w:rFonts w:ascii="宋体" w:eastAsia="宋体" w:hAnsi="宋体"/>
          <w:sz w:val="21"/>
          <w:szCs w:val="21"/>
        </w:rPr>
        <w:t>µ</w:t>
      </w:r>
      <w:r w:rsidRPr="005B4D1E">
        <w:rPr>
          <w:rFonts w:ascii="宋体" w:eastAsia="宋体" w:hAnsi="宋体" w:hint="eastAsia"/>
          <w:sz w:val="21"/>
          <w:szCs w:val="21"/>
        </w:rPr>
        <w:t>L</w:t>
      </w:r>
    </w:p>
    <w:p w:rsidR="009D14A5" w:rsidRPr="005B4D1E" w:rsidRDefault="009D14A5" w:rsidP="003B0360">
      <w:pPr>
        <w:pStyle w:val="a5"/>
        <w:spacing w:after="156"/>
      </w:pPr>
      <w:bookmarkStart w:id="8" w:name="_Toc405816307"/>
      <w:r w:rsidRPr="005B4D1E">
        <w:rPr>
          <w:rFonts w:hint="eastAsia"/>
        </w:rPr>
        <w:t>图</w:t>
      </w:r>
      <w:r w:rsidR="003B0360">
        <w:rPr>
          <w:rFonts w:hint="eastAsia"/>
        </w:rPr>
        <w:t xml:space="preserve">3 </w:t>
      </w:r>
      <w:r w:rsidRPr="005B4D1E">
        <w:rPr>
          <w:rFonts w:hint="eastAsia"/>
        </w:rPr>
        <w:t>引物浓度的优化</w:t>
      </w:r>
      <w:bookmarkEnd w:id="8"/>
    </w:p>
    <w:p w:rsidR="009D14A5" w:rsidRPr="005B4D1E" w:rsidRDefault="009D14A5" w:rsidP="009D14A5">
      <w:pPr>
        <w:spacing w:line="360" w:lineRule="auto"/>
        <w:rPr>
          <w:rFonts w:ascii="宋体" w:eastAsia="宋体" w:hAnsi="宋体"/>
          <w:b/>
          <w:bCs/>
          <w:sz w:val="21"/>
          <w:szCs w:val="21"/>
        </w:rPr>
      </w:pPr>
    </w:p>
    <w:p w:rsidR="009D14A5" w:rsidRPr="005B4D1E" w:rsidRDefault="009D14A5" w:rsidP="009D14A5">
      <w:pPr>
        <w:wordWrap w:val="0"/>
        <w:spacing w:line="360" w:lineRule="auto"/>
        <w:rPr>
          <w:rFonts w:ascii="宋体" w:eastAsia="宋体" w:hAnsi="宋体"/>
          <w:sz w:val="21"/>
          <w:szCs w:val="21"/>
        </w:rPr>
      </w:pPr>
      <w:r w:rsidRPr="005B4D1E">
        <w:rPr>
          <w:rFonts w:ascii="宋体" w:eastAsia="宋体" w:hAnsi="宋体" w:hint="eastAsia"/>
          <w:sz w:val="21"/>
          <w:szCs w:val="21"/>
        </w:rPr>
        <w:lastRenderedPageBreak/>
        <w:t xml:space="preserve">    </w:t>
      </w:r>
      <w:r w:rsidRPr="005B4D1E">
        <w:rPr>
          <w:rFonts w:ascii="宋体" w:eastAsia="宋体" w:hAnsi="宋体" w:hint="eastAsia"/>
          <w:b/>
          <w:sz w:val="21"/>
          <w:szCs w:val="21"/>
        </w:rPr>
        <w:t>最佳反应条件的确定：</w:t>
      </w:r>
      <w:r w:rsidRPr="005B4D1E">
        <w:rPr>
          <w:rFonts w:ascii="宋体" w:eastAsia="宋体" w:hAnsi="宋体" w:hint="eastAsia"/>
          <w:sz w:val="21"/>
          <w:szCs w:val="21"/>
        </w:rPr>
        <w:t>经优化，多重RT-PCR包括反转录和PCR扩增两步程序。10</w:t>
      </w:r>
      <w:r w:rsidRPr="005B4D1E">
        <w:rPr>
          <w:rFonts w:ascii="宋体" w:eastAsia="宋体" w:hAnsi="宋体"/>
          <w:sz w:val="21"/>
          <w:szCs w:val="21"/>
        </w:rPr>
        <w:t>µ</w:t>
      </w:r>
      <w:r w:rsidRPr="005B4D1E">
        <w:rPr>
          <w:rFonts w:ascii="宋体" w:eastAsia="宋体" w:hAnsi="宋体" w:hint="eastAsia"/>
          <w:sz w:val="21"/>
          <w:szCs w:val="21"/>
        </w:rPr>
        <w:t>L反转录体系：无RNA酶灭菌双蒸水0.75</w:t>
      </w:r>
      <w:r w:rsidRPr="005B4D1E">
        <w:rPr>
          <w:rFonts w:ascii="宋体" w:eastAsia="宋体" w:hAnsi="宋体"/>
          <w:sz w:val="21"/>
          <w:szCs w:val="21"/>
        </w:rPr>
        <w:t>µ</w:t>
      </w:r>
      <w:r w:rsidRPr="005B4D1E">
        <w:rPr>
          <w:rFonts w:ascii="宋体" w:eastAsia="宋体" w:hAnsi="宋体" w:hint="eastAsia"/>
          <w:sz w:val="21"/>
          <w:szCs w:val="21"/>
        </w:rPr>
        <w:t>L，10</w:t>
      </w:r>
      <w:r w:rsidRPr="005B4D1E">
        <w:rPr>
          <w:rFonts w:ascii="宋体" w:eastAsia="宋体" w:hAnsi="宋体" w:cs="Arial"/>
          <w:sz w:val="21"/>
          <w:szCs w:val="21"/>
        </w:rPr>
        <w:t>×</w:t>
      </w:r>
      <w:r w:rsidRPr="005B4D1E">
        <w:rPr>
          <w:rFonts w:ascii="宋体" w:eastAsia="宋体" w:hAnsi="宋体" w:hint="eastAsia"/>
          <w:sz w:val="21"/>
          <w:szCs w:val="21"/>
        </w:rPr>
        <w:t xml:space="preserve">RT buffer l </w:t>
      </w:r>
      <w:r w:rsidRPr="005B4D1E">
        <w:rPr>
          <w:rFonts w:ascii="宋体" w:eastAsia="宋体" w:hAnsi="宋体"/>
          <w:sz w:val="21"/>
          <w:szCs w:val="21"/>
        </w:rPr>
        <w:t>µ</w:t>
      </w:r>
      <w:r w:rsidRPr="005B4D1E">
        <w:rPr>
          <w:rFonts w:ascii="宋体" w:eastAsia="宋体" w:hAnsi="宋体" w:hint="eastAsia"/>
          <w:sz w:val="21"/>
          <w:szCs w:val="21"/>
        </w:rPr>
        <w:t>L，MgCl</w:t>
      </w:r>
      <w:r w:rsidRPr="005B4D1E">
        <w:rPr>
          <w:rFonts w:ascii="宋体" w:eastAsia="宋体" w:hAnsi="宋体" w:hint="eastAsia"/>
          <w:sz w:val="21"/>
          <w:szCs w:val="21"/>
          <w:vertAlign w:val="subscript"/>
        </w:rPr>
        <w:t>2</w:t>
      </w:r>
      <w:r w:rsidRPr="005B4D1E">
        <w:rPr>
          <w:rFonts w:ascii="宋体" w:eastAsia="宋体" w:hAnsi="宋体" w:hint="eastAsia"/>
          <w:sz w:val="21"/>
          <w:szCs w:val="21"/>
        </w:rPr>
        <w:t xml:space="preserve"> (</w:t>
      </w:r>
      <w:smartTag w:uri="urn:schemas-microsoft-com:office:smarttags" w:element="chmetcnv">
        <w:smartTagPr>
          <w:attr w:name="TCSC" w:val="0"/>
          <w:attr w:name="NumberType" w:val="1"/>
          <w:attr w:name="Negative" w:val="False"/>
          <w:attr w:name="HasSpace" w:val="False"/>
          <w:attr w:name="SourceValue" w:val="25"/>
          <w:attr w:name="UnitName" w:val="mm"/>
        </w:smartTagPr>
        <w:r w:rsidRPr="005B4D1E">
          <w:rPr>
            <w:rFonts w:ascii="宋体" w:eastAsia="宋体" w:hAnsi="宋体" w:hint="eastAsia"/>
            <w:sz w:val="21"/>
            <w:szCs w:val="21"/>
          </w:rPr>
          <w:t>25mM</w:t>
        </w:r>
      </w:smartTag>
      <w:r w:rsidRPr="005B4D1E">
        <w:rPr>
          <w:rFonts w:ascii="宋体" w:eastAsia="宋体" w:hAnsi="宋体" w:hint="eastAsia"/>
          <w:sz w:val="21"/>
          <w:szCs w:val="21"/>
        </w:rPr>
        <w:t>)2</w:t>
      </w:r>
      <w:r w:rsidRPr="005B4D1E">
        <w:rPr>
          <w:rFonts w:ascii="宋体" w:eastAsia="宋体" w:hAnsi="宋体"/>
          <w:sz w:val="21"/>
          <w:szCs w:val="21"/>
        </w:rPr>
        <w:t>µ</w:t>
      </w:r>
      <w:r w:rsidRPr="005B4D1E">
        <w:rPr>
          <w:rFonts w:ascii="宋体" w:eastAsia="宋体" w:hAnsi="宋体" w:hint="eastAsia"/>
          <w:sz w:val="21"/>
          <w:szCs w:val="21"/>
        </w:rPr>
        <w:t>L，dNTP(各</w:t>
      </w:r>
      <w:smartTag w:uri="urn:schemas-microsoft-com:office:smarttags" w:element="chmetcnv">
        <w:smartTagPr>
          <w:attr w:name="TCSC" w:val="0"/>
          <w:attr w:name="NumberType" w:val="1"/>
          <w:attr w:name="Negative" w:val="False"/>
          <w:attr w:name="HasSpace" w:val="False"/>
          <w:attr w:name="SourceValue" w:val="25"/>
          <w:attr w:name="UnitName" w:val="mm"/>
        </w:smartTagPr>
        <w:r w:rsidRPr="005B4D1E">
          <w:rPr>
            <w:rFonts w:ascii="宋体" w:eastAsia="宋体" w:hAnsi="宋体" w:hint="eastAsia"/>
            <w:sz w:val="21"/>
            <w:szCs w:val="21"/>
          </w:rPr>
          <w:t>25mM</w:t>
        </w:r>
      </w:smartTag>
      <w:r w:rsidRPr="005B4D1E">
        <w:rPr>
          <w:rFonts w:ascii="宋体" w:eastAsia="宋体" w:hAnsi="宋体" w:hint="eastAsia"/>
          <w:sz w:val="21"/>
          <w:szCs w:val="21"/>
        </w:rPr>
        <w:t>)1</w:t>
      </w:r>
      <w:r w:rsidRPr="005B4D1E">
        <w:rPr>
          <w:rFonts w:ascii="宋体" w:eastAsia="宋体" w:hAnsi="宋体"/>
          <w:sz w:val="21"/>
          <w:szCs w:val="21"/>
        </w:rPr>
        <w:t>µ</w:t>
      </w:r>
      <w:r w:rsidRPr="005B4D1E">
        <w:rPr>
          <w:rFonts w:ascii="宋体" w:eastAsia="宋体" w:hAnsi="宋体" w:hint="eastAsia"/>
          <w:sz w:val="21"/>
          <w:szCs w:val="21"/>
        </w:rPr>
        <w:t>L，随机引物9聚体（25pmol/</w:t>
      </w:r>
      <w:r w:rsidRPr="005B4D1E">
        <w:rPr>
          <w:rFonts w:ascii="宋体" w:eastAsia="宋体" w:hAnsi="宋体"/>
          <w:sz w:val="21"/>
          <w:szCs w:val="21"/>
        </w:rPr>
        <w:t>µ</w:t>
      </w:r>
      <w:r w:rsidRPr="005B4D1E">
        <w:rPr>
          <w:rFonts w:ascii="宋体" w:eastAsia="宋体" w:hAnsi="宋体" w:hint="eastAsia"/>
          <w:sz w:val="21"/>
          <w:szCs w:val="21"/>
        </w:rPr>
        <w:t>L）0.5</w:t>
      </w:r>
      <w:r w:rsidRPr="005B4D1E">
        <w:rPr>
          <w:rFonts w:ascii="宋体" w:eastAsia="宋体" w:hAnsi="宋体"/>
          <w:sz w:val="21"/>
          <w:szCs w:val="21"/>
        </w:rPr>
        <w:t>µ</w:t>
      </w:r>
      <w:r w:rsidRPr="005B4D1E">
        <w:rPr>
          <w:rFonts w:ascii="宋体" w:eastAsia="宋体" w:hAnsi="宋体" w:hint="eastAsia"/>
          <w:sz w:val="21"/>
          <w:szCs w:val="21"/>
        </w:rPr>
        <w:t>L，RNA酶抑制剂(40U/</w:t>
      </w:r>
      <w:r w:rsidRPr="005B4D1E">
        <w:rPr>
          <w:rFonts w:ascii="宋体" w:eastAsia="宋体" w:hAnsi="宋体"/>
          <w:sz w:val="21"/>
          <w:szCs w:val="21"/>
        </w:rPr>
        <w:t>µ</w:t>
      </w:r>
      <w:r w:rsidRPr="005B4D1E">
        <w:rPr>
          <w:rFonts w:ascii="宋体" w:eastAsia="宋体" w:hAnsi="宋体" w:hint="eastAsia"/>
          <w:sz w:val="21"/>
          <w:szCs w:val="21"/>
        </w:rPr>
        <w:t>L)0.25</w:t>
      </w:r>
      <w:r w:rsidRPr="005B4D1E">
        <w:rPr>
          <w:rFonts w:ascii="宋体" w:eastAsia="宋体" w:hAnsi="宋体"/>
          <w:sz w:val="21"/>
          <w:szCs w:val="21"/>
        </w:rPr>
        <w:t>µ</w:t>
      </w:r>
      <w:r w:rsidRPr="005B4D1E">
        <w:rPr>
          <w:rFonts w:ascii="宋体" w:eastAsia="宋体" w:hAnsi="宋体" w:hint="eastAsia"/>
          <w:sz w:val="21"/>
          <w:szCs w:val="21"/>
        </w:rPr>
        <w:t>L，AMV反转录酶（10U/</w:t>
      </w:r>
      <w:r w:rsidRPr="005B4D1E">
        <w:rPr>
          <w:rFonts w:ascii="宋体" w:eastAsia="宋体" w:hAnsi="宋体"/>
          <w:sz w:val="21"/>
          <w:szCs w:val="21"/>
        </w:rPr>
        <w:t>µ</w:t>
      </w:r>
      <w:r w:rsidRPr="005B4D1E">
        <w:rPr>
          <w:rFonts w:ascii="宋体" w:eastAsia="宋体" w:hAnsi="宋体" w:hint="eastAsia"/>
          <w:sz w:val="21"/>
          <w:szCs w:val="21"/>
        </w:rPr>
        <w:t>L）0.5</w:t>
      </w:r>
      <w:r w:rsidRPr="005B4D1E">
        <w:rPr>
          <w:rFonts w:ascii="宋体" w:eastAsia="宋体" w:hAnsi="宋体"/>
          <w:sz w:val="21"/>
          <w:szCs w:val="21"/>
        </w:rPr>
        <w:t>µ</w:t>
      </w:r>
      <w:r w:rsidRPr="005B4D1E">
        <w:rPr>
          <w:rFonts w:ascii="宋体" w:eastAsia="宋体" w:hAnsi="宋体" w:hint="eastAsia"/>
          <w:sz w:val="21"/>
          <w:szCs w:val="21"/>
        </w:rPr>
        <w:t>L，模板总RNA 4tiL；反转录程序：</w:t>
      </w:r>
      <w:smartTag w:uri="urn:schemas-microsoft-com:office:smarttags" w:element="chmetcnv">
        <w:smartTagPr>
          <w:attr w:name="TCSC" w:val="0"/>
          <w:attr w:name="NumberType" w:val="1"/>
          <w:attr w:name="Negative" w:val="False"/>
          <w:attr w:name="HasSpace" w:val="False"/>
          <w:attr w:name="SourceValue" w:val="30"/>
          <w:attr w:name="UnitName" w:val="℃"/>
        </w:smartTagPr>
        <w:r w:rsidRPr="005B4D1E">
          <w:rPr>
            <w:rFonts w:ascii="宋体" w:eastAsia="宋体" w:hAnsi="宋体" w:hint="eastAsia"/>
            <w:sz w:val="21"/>
            <w:szCs w:val="21"/>
          </w:rPr>
          <w:t>30</w:t>
        </w:r>
        <w:r w:rsidRPr="005B4D1E">
          <w:rPr>
            <w:rFonts w:ascii="宋体" w:eastAsia="宋体" w:hAnsi="宋体" w:cs="Arial"/>
            <w:sz w:val="21"/>
            <w:szCs w:val="21"/>
          </w:rPr>
          <w:t>℃</w:t>
        </w:r>
      </w:smartTag>
      <w:r w:rsidRPr="005B4D1E">
        <w:rPr>
          <w:rFonts w:ascii="宋体" w:eastAsia="宋体" w:hAnsi="宋体" w:hint="eastAsia"/>
          <w:sz w:val="21"/>
          <w:szCs w:val="21"/>
        </w:rPr>
        <w:t>10min，</w:t>
      </w:r>
      <w:smartTag w:uri="urn:schemas-microsoft-com:office:smarttags" w:element="chmetcnv">
        <w:smartTagPr>
          <w:attr w:name="TCSC" w:val="0"/>
          <w:attr w:name="NumberType" w:val="1"/>
          <w:attr w:name="Negative" w:val="False"/>
          <w:attr w:name="HasSpace" w:val="False"/>
          <w:attr w:name="SourceValue" w:val="42"/>
          <w:attr w:name="UnitName" w:val="℃"/>
        </w:smartTagPr>
        <w:r w:rsidRPr="005B4D1E">
          <w:rPr>
            <w:rFonts w:ascii="宋体" w:eastAsia="宋体" w:hAnsi="宋体" w:hint="eastAsia"/>
            <w:sz w:val="21"/>
            <w:szCs w:val="21"/>
          </w:rPr>
          <w:t>42℃</w:t>
        </w:r>
      </w:smartTag>
      <w:r w:rsidRPr="005B4D1E">
        <w:rPr>
          <w:rFonts w:ascii="宋体" w:eastAsia="宋体" w:hAnsi="宋体" w:hint="eastAsia"/>
          <w:sz w:val="21"/>
          <w:szCs w:val="21"/>
        </w:rPr>
        <w:t>30min，</w:t>
      </w:r>
      <w:smartTag w:uri="urn:schemas-microsoft-com:office:smarttags" w:element="chmetcnv">
        <w:smartTagPr>
          <w:attr w:name="TCSC" w:val="0"/>
          <w:attr w:name="NumberType" w:val="1"/>
          <w:attr w:name="Negative" w:val="False"/>
          <w:attr w:name="HasSpace" w:val="False"/>
          <w:attr w:name="SourceValue" w:val="99"/>
          <w:attr w:name="UnitName" w:val="℃"/>
        </w:smartTagPr>
        <w:r w:rsidRPr="005B4D1E">
          <w:rPr>
            <w:rFonts w:ascii="宋体" w:eastAsia="宋体" w:hAnsi="宋体" w:hint="eastAsia"/>
            <w:sz w:val="21"/>
            <w:szCs w:val="21"/>
          </w:rPr>
          <w:t>99℃</w:t>
        </w:r>
      </w:smartTag>
      <w:r w:rsidRPr="005B4D1E">
        <w:rPr>
          <w:rFonts w:ascii="宋体" w:eastAsia="宋体" w:hAnsi="宋体" w:hint="eastAsia"/>
          <w:sz w:val="21"/>
          <w:szCs w:val="21"/>
        </w:rPr>
        <w:t>5min。50</w:t>
      </w:r>
      <w:r w:rsidRPr="005B4D1E">
        <w:rPr>
          <w:rFonts w:ascii="宋体" w:eastAsia="宋体" w:hAnsi="宋体"/>
          <w:sz w:val="21"/>
          <w:szCs w:val="21"/>
        </w:rPr>
        <w:t>µ</w:t>
      </w:r>
      <w:r w:rsidRPr="005B4D1E">
        <w:rPr>
          <w:rFonts w:ascii="宋体" w:eastAsia="宋体" w:hAnsi="宋体" w:hint="eastAsia"/>
          <w:sz w:val="21"/>
          <w:szCs w:val="21"/>
        </w:rPr>
        <w:t>L PCR反应体系：5</w:t>
      </w:r>
      <w:r w:rsidRPr="005B4D1E">
        <w:rPr>
          <w:rFonts w:ascii="宋体" w:eastAsia="宋体" w:hAnsi="宋体" w:cs="Arial"/>
          <w:sz w:val="21"/>
          <w:szCs w:val="21"/>
        </w:rPr>
        <w:t>×</w:t>
      </w:r>
      <w:r w:rsidRPr="005B4D1E">
        <w:rPr>
          <w:rFonts w:ascii="宋体" w:eastAsia="宋体" w:hAnsi="宋体" w:hint="eastAsia"/>
          <w:sz w:val="21"/>
          <w:szCs w:val="21"/>
        </w:rPr>
        <w:t xml:space="preserve">RT buffer 10 </w:t>
      </w:r>
      <w:r w:rsidRPr="005B4D1E">
        <w:rPr>
          <w:rFonts w:ascii="宋体" w:eastAsia="宋体" w:hAnsi="宋体"/>
          <w:sz w:val="21"/>
          <w:szCs w:val="21"/>
        </w:rPr>
        <w:t>µ</w:t>
      </w:r>
      <w:r w:rsidRPr="005B4D1E">
        <w:rPr>
          <w:rFonts w:ascii="宋体" w:eastAsia="宋体" w:hAnsi="宋体" w:hint="eastAsia"/>
          <w:sz w:val="21"/>
          <w:szCs w:val="21"/>
        </w:rPr>
        <w:t>L，Ex Taq HS聚合酶（5U/</w:t>
      </w:r>
      <w:r w:rsidRPr="005B4D1E">
        <w:rPr>
          <w:rFonts w:ascii="宋体" w:eastAsia="宋体" w:hAnsi="宋体"/>
          <w:sz w:val="21"/>
          <w:szCs w:val="21"/>
        </w:rPr>
        <w:t>µ</w:t>
      </w:r>
      <w:r w:rsidRPr="005B4D1E">
        <w:rPr>
          <w:rFonts w:ascii="宋体" w:eastAsia="宋体" w:hAnsi="宋体" w:hint="eastAsia"/>
          <w:sz w:val="21"/>
          <w:szCs w:val="21"/>
        </w:rPr>
        <w:t>L）0.25</w:t>
      </w:r>
      <w:r w:rsidRPr="005B4D1E">
        <w:rPr>
          <w:rFonts w:ascii="宋体" w:eastAsia="宋体" w:hAnsi="宋体"/>
          <w:sz w:val="21"/>
          <w:szCs w:val="21"/>
        </w:rPr>
        <w:t>µ</w:t>
      </w:r>
      <w:r w:rsidRPr="005B4D1E">
        <w:rPr>
          <w:rFonts w:ascii="宋体" w:eastAsia="宋体" w:hAnsi="宋体" w:hint="eastAsia"/>
          <w:sz w:val="21"/>
          <w:szCs w:val="21"/>
        </w:rPr>
        <w:t>L，引物AM-Nsp2(25pmol/</w:t>
      </w:r>
      <w:r w:rsidRPr="005B4D1E">
        <w:rPr>
          <w:rFonts w:ascii="宋体" w:eastAsia="宋体" w:hAnsi="宋体"/>
          <w:sz w:val="21"/>
          <w:szCs w:val="21"/>
        </w:rPr>
        <w:t>µ</w:t>
      </w:r>
      <w:r w:rsidRPr="005B4D1E">
        <w:rPr>
          <w:rFonts w:ascii="宋体" w:eastAsia="宋体" w:hAnsi="宋体" w:hint="eastAsia"/>
          <w:sz w:val="21"/>
          <w:szCs w:val="21"/>
        </w:rPr>
        <w:t>L)、EU-ORF5(25pmol/</w:t>
      </w:r>
      <w:r w:rsidRPr="005B4D1E">
        <w:rPr>
          <w:rFonts w:ascii="宋体" w:eastAsia="宋体" w:hAnsi="宋体"/>
          <w:sz w:val="21"/>
          <w:szCs w:val="21"/>
        </w:rPr>
        <w:t>µ</w:t>
      </w:r>
      <w:r w:rsidRPr="005B4D1E">
        <w:rPr>
          <w:rFonts w:ascii="宋体" w:eastAsia="宋体" w:hAnsi="宋体" w:hint="eastAsia"/>
          <w:sz w:val="21"/>
          <w:szCs w:val="21"/>
        </w:rPr>
        <w:t>L)各1</w:t>
      </w:r>
      <w:r w:rsidRPr="005B4D1E">
        <w:rPr>
          <w:rFonts w:ascii="宋体" w:eastAsia="宋体" w:hAnsi="宋体"/>
          <w:sz w:val="21"/>
          <w:szCs w:val="21"/>
        </w:rPr>
        <w:t>µ</w:t>
      </w:r>
      <w:r w:rsidRPr="005B4D1E">
        <w:rPr>
          <w:rFonts w:ascii="宋体" w:eastAsia="宋体" w:hAnsi="宋体" w:hint="eastAsia"/>
          <w:sz w:val="21"/>
          <w:szCs w:val="21"/>
        </w:rPr>
        <w:t>L，引物CO-ORF7(25pmol/</w:t>
      </w:r>
      <w:r w:rsidRPr="005B4D1E">
        <w:rPr>
          <w:rFonts w:ascii="宋体" w:eastAsia="宋体" w:hAnsi="宋体"/>
          <w:sz w:val="21"/>
          <w:szCs w:val="21"/>
        </w:rPr>
        <w:t>µ</w:t>
      </w:r>
      <w:r w:rsidRPr="005B4D1E">
        <w:rPr>
          <w:rFonts w:ascii="宋体" w:eastAsia="宋体" w:hAnsi="宋体" w:hint="eastAsia"/>
          <w:sz w:val="21"/>
          <w:szCs w:val="21"/>
        </w:rPr>
        <w:t>L)0.5</w:t>
      </w:r>
      <w:r w:rsidRPr="005B4D1E">
        <w:rPr>
          <w:rFonts w:ascii="宋体" w:eastAsia="宋体" w:hAnsi="宋体"/>
          <w:sz w:val="21"/>
          <w:szCs w:val="21"/>
        </w:rPr>
        <w:t>µ</w:t>
      </w:r>
      <w:r w:rsidRPr="005B4D1E">
        <w:rPr>
          <w:rFonts w:ascii="宋体" w:eastAsia="宋体" w:hAnsi="宋体" w:hint="eastAsia"/>
          <w:sz w:val="21"/>
          <w:szCs w:val="21"/>
        </w:rPr>
        <w:t>L．cDNA5</w:t>
      </w:r>
      <w:r w:rsidRPr="005B4D1E">
        <w:rPr>
          <w:rFonts w:ascii="宋体" w:eastAsia="宋体" w:hAnsi="宋体"/>
          <w:sz w:val="21"/>
          <w:szCs w:val="21"/>
        </w:rPr>
        <w:t>µ</w:t>
      </w:r>
      <w:r w:rsidRPr="005B4D1E">
        <w:rPr>
          <w:rFonts w:ascii="宋体" w:eastAsia="宋体" w:hAnsi="宋体" w:hint="eastAsia"/>
          <w:sz w:val="21"/>
          <w:szCs w:val="21"/>
        </w:rPr>
        <w:t>L，灭菌双蒸水补至50</w:t>
      </w:r>
      <w:r w:rsidRPr="005B4D1E">
        <w:rPr>
          <w:rFonts w:ascii="宋体" w:eastAsia="宋体" w:hAnsi="宋体"/>
          <w:sz w:val="21"/>
          <w:szCs w:val="21"/>
        </w:rPr>
        <w:t>µ</w:t>
      </w:r>
      <w:r w:rsidRPr="005B4D1E">
        <w:rPr>
          <w:rFonts w:ascii="宋体" w:eastAsia="宋体" w:hAnsi="宋体" w:hint="eastAsia"/>
          <w:sz w:val="21"/>
          <w:szCs w:val="21"/>
        </w:rPr>
        <w:t>L；反应程序：</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smartTag>
      <w:r w:rsidRPr="005B4D1E">
        <w:rPr>
          <w:rFonts w:ascii="宋体" w:eastAsia="宋体" w:hAnsi="宋体" w:hint="eastAsia"/>
          <w:sz w:val="21"/>
          <w:szCs w:val="21"/>
        </w:rPr>
        <w:t>2min；</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r w:rsidRPr="005B4D1E">
          <w:rPr>
            <w:rFonts w:ascii="宋体" w:eastAsia="宋体" w:hAnsi="宋体" w:cs="Arial"/>
            <w:sz w:val="21"/>
            <w:szCs w:val="21"/>
          </w:rPr>
          <w:t>℃</w:t>
        </w:r>
      </w:smartTag>
      <w:r w:rsidRPr="005B4D1E">
        <w:rPr>
          <w:rFonts w:ascii="宋体" w:eastAsia="宋体" w:hAnsi="宋体" w:hint="eastAsia"/>
          <w:sz w:val="21"/>
          <w:szCs w:val="21"/>
        </w:rPr>
        <w:t>30s，</w:t>
      </w:r>
      <w:smartTag w:uri="urn:schemas-microsoft-com:office:smarttags" w:element="chmetcnv">
        <w:smartTagPr>
          <w:attr w:name="TCSC" w:val="0"/>
          <w:attr w:name="NumberType" w:val="1"/>
          <w:attr w:name="Negative" w:val="False"/>
          <w:attr w:name="HasSpace" w:val="False"/>
          <w:attr w:name="SourceValue" w:val="56.2"/>
          <w:attr w:name="UnitName" w:val="℃"/>
        </w:smartTagPr>
        <w:r w:rsidRPr="005B4D1E">
          <w:rPr>
            <w:rFonts w:ascii="宋体" w:eastAsia="宋体" w:hAnsi="宋体" w:hint="eastAsia"/>
            <w:sz w:val="21"/>
            <w:szCs w:val="21"/>
          </w:rPr>
          <w:t>56.2</w:t>
        </w:r>
        <w:r w:rsidRPr="005B4D1E">
          <w:rPr>
            <w:rFonts w:ascii="宋体" w:eastAsia="宋体" w:hAnsi="宋体" w:cs="Arial"/>
            <w:sz w:val="21"/>
            <w:szCs w:val="21"/>
          </w:rPr>
          <w:t>℃</w:t>
        </w:r>
      </w:smartTag>
      <w:r w:rsidRPr="005B4D1E">
        <w:rPr>
          <w:rFonts w:ascii="宋体" w:eastAsia="宋体" w:hAnsi="宋体" w:hint="eastAsia"/>
          <w:sz w:val="21"/>
          <w:szCs w:val="21"/>
        </w:rPr>
        <w:t>30s，</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45s，35个循环；</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10min。</w:t>
      </w:r>
    </w:p>
    <w:p w:rsidR="009D14A5" w:rsidRPr="005B4D1E" w:rsidRDefault="009D14A5" w:rsidP="005B4D1E">
      <w:pPr>
        <w:wordWrap w:val="0"/>
        <w:spacing w:line="360" w:lineRule="auto"/>
        <w:ind w:firstLineChars="200" w:firstLine="422"/>
        <w:rPr>
          <w:rFonts w:ascii="宋体" w:eastAsia="宋体" w:hAnsi="宋体" w:cs="宋体"/>
          <w:sz w:val="21"/>
          <w:szCs w:val="21"/>
        </w:rPr>
      </w:pPr>
      <w:r w:rsidRPr="005B4D1E">
        <w:rPr>
          <w:rFonts w:ascii="宋体" w:eastAsia="宋体" w:hAnsi="宋体" w:hint="eastAsia"/>
          <w:b/>
          <w:sz w:val="21"/>
          <w:szCs w:val="21"/>
        </w:rPr>
        <w:t>多重PCR的特异性试验：</w:t>
      </w:r>
      <w:r w:rsidRPr="005B4D1E">
        <w:rPr>
          <w:rFonts w:ascii="宋体" w:eastAsia="宋体" w:hAnsi="宋体" w:hint="eastAsia"/>
          <w:sz w:val="21"/>
          <w:szCs w:val="21"/>
        </w:rPr>
        <w:t>以重组质粒p-AM-ORF7、p-EU-ORF7、p-Nsp2-VR2332、p-Nsp2-JXA1、p-EU-ORF5，以及CSFV、FMDV的cDNA和PCV2、PRV、PPV的DNA作为模板进行多重PCR。结果，只有重组质粒反应呈阳性，而CSFV、FMDV、PCV2、PRV、PPV均为阴性，没有交叉反应（见图</w:t>
      </w:r>
      <w:r w:rsidRPr="005B4D1E">
        <w:rPr>
          <w:rFonts w:ascii="宋体" w:eastAsia="宋体" w:hAnsi="宋体" w:cs="宋体" w:hint="eastAsia"/>
          <w:sz w:val="21"/>
          <w:szCs w:val="21"/>
        </w:rPr>
        <w:t>4）。</w:t>
      </w:r>
    </w:p>
    <w:p w:rsidR="009D14A5" w:rsidRPr="005B4D1E" w:rsidRDefault="009D14A5" w:rsidP="009D14A5">
      <w:pPr>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3554095" cy="1682115"/>
            <wp:effectExtent l="19050" t="0" r="825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5" cstate="print"/>
                    <a:srcRect/>
                    <a:stretch>
                      <a:fillRect/>
                    </a:stretch>
                  </pic:blipFill>
                  <pic:spPr bwMode="auto">
                    <a:xfrm>
                      <a:off x="0" y="0"/>
                      <a:ext cx="3554095" cy="1682115"/>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M：DNA标准DL1500；1：重组质粒混合物；2：p-EU-ORF5；3：p-AM-ORF7；4：p-EU-ORF7；5：p-Nsp2-VR2332；6：p-Nsp2-JXA1；7：p-EU-ORFla；8：p-AM-ORF5；9：PCV2；10：PRV；11：PPV：12：CSFV；13：FMDV；14：阴性对照</w:t>
      </w:r>
    </w:p>
    <w:p w:rsidR="009D14A5" w:rsidRPr="005B4D1E" w:rsidRDefault="009D14A5" w:rsidP="003B0360">
      <w:pPr>
        <w:pStyle w:val="a5"/>
        <w:spacing w:after="156"/>
      </w:pPr>
      <w:bookmarkStart w:id="9" w:name="_Toc405816308"/>
      <w:r w:rsidRPr="005B4D1E">
        <w:rPr>
          <w:rFonts w:hint="eastAsia"/>
        </w:rPr>
        <w:t>图</w:t>
      </w:r>
      <w:r w:rsidR="003B0360">
        <w:rPr>
          <w:rFonts w:hint="eastAsia"/>
        </w:rPr>
        <w:t xml:space="preserve">4 </w:t>
      </w:r>
      <w:r w:rsidRPr="005B4D1E">
        <w:rPr>
          <w:rFonts w:hint="eastAsia"/>
        </w:rPr>
        <w:t>多重</w:t>
      </w:r>
      <w:r w:rsidRPr="005B4D1E">
        <w:rPr>
          <w:rFonts w:hint="eastAsia"/>
        </w:rPr>
        <w:t>PCR</w:t>
      </w:r>
      <w:r w:rsidRPr="005B4D1E">
        <w:rPr>
          <w:rFonts w:hint="eastAsia"/>
        </w:rPr>
        <w:t>的特异性试验</w:t>
      </w:r>
      <w:bookmarkEnd w:id="9"/>
    </w:p>
    <w:p w:rsidR="009D14A5" w:rsidRPr="005B4D1E" w:rsidRDefault="009D14A5" w:rsidP="005B4D1E">
      <w:pPr>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多重PCR的敏感性试验：</w:t>
      </w:r>
      <w:r w:rsidRPr="005B4D1E">
        <w:rPr>
          <w:rFonts w:ascii="宋体" w:eastAsia="宋体" w:hAnsi="宋体" w:hint="eastAsia"/>
          <w:sz w:val="21"/>
          <w:szCs w:val="21"/>
        </w:rPr>
        <w:t>将5种重组质粒10倍系列稀释成1.67×10</w:t>
      </w:r>
      <w:r w:rsidRPr="005B4D1E">
        <w:rPr>
          <w:rFonts w:ascii="宋体" w:eastAsia="宋体" w:hAnsi="宋体" w:hint="eastAsia"/>
          <w:sz w:val="21"/>
          <w:szCs w:val="21"/>
          <w:vertAlign w:val="superscript"/>
        </w:rPr>
        <w:t>10</w:t>
      </w:r>
      <w:r w:rsidRPr="005B4D1E">
        <w:rPr>
          <w:rFonts w:ascii="宋体" w:eastAsia="宋体" w:hAnsi="宋体" w:hint="eastAsia"/>
          <w:sz w:val="21"/>
          <w:szCs w:val="21"/>
        </w:rPr>
        <w:t>～1.67×10</w:t>
      </w:r>
      <w:r w:rsidRPr="005B4D1E">
        <w:rPr>
          <w:rFonts w:ascii="宋体" w:eastAsia="宋体" w:hAnsi="宋体" w:hint="eastAsia"/>
          <w:sz w:val="21"/>
          <w:szCs w:val="21"/>
          <w:vertAlign w:val="superscript"/>
        </w:rPr>
        <w:t>1</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L（50</w:t>
      </w:r>
      <w:r w:rsidRPr="005B4D1E">
        <w:rPr>
          <w:rFonts w:ascii="宋体" w:eastAsia="宋体" w:hAnsi="宋体"/>
          <w:sz w:val="21"/>
          <w:szCs w:val="21"/>
        </w:rPr>
        <w:t>µ</w:t>
      </w:r>
      <w:r w:rsidRPr="005B4D1E">
        <w:rPr>
          <w:rFonts w:ascii="宋体" w:eastAsia="宋体" w:hAnsi="宋体" w:hint="eastAsia"/>
          <w:sz w:val="21"/>
          <w:szCs w:val="21"/>
        </w:rPr>
        <w:t>L反应体系终浓度为1.67×l0</w:t>
      </w:r>
      <w:r w:rsidRPr="005B4D1E">
        <w:rPr>
          <w:rFonts w:ascii="宋体" w:eastAsia="宋体" w:hAnsi="宋体" w:hint="eastAsia"/>
          <w:sz w:val="21"/>
          <w:szCs w:val="21"/>
          <w:vertAlign w:val="superscript"/>
        </w:rPr>
        <w:t>9</w:t>
      </w:r>
      <w:r w:rsidRPr="005B4D1E">
        <w:rPr>
          <w:rFonts w:ascii="宋体" w:eastAsia="宋体" w:hAnsi="宋体" w:hint="eastAsia"/>
          <w:sz w:val="21"/>
          <w:szCs w:val="21"/>
        </w:rPr>
        <w:t>~1.67×10</w:t>
      </w:r>
      <w:r w:rsidRPr="005B4D1E">
        <w:rPr>
          <w:rFonts w:ascii="宋体" w:eastAsia="宋体" w:hAnsi="宋体" w:hint="eastAsia"/>
          <w:sz w:val="21"/>
          <w:szCs w:val="21"/>
          <w:vertAlign w:val="superscript"/>
        </w:rPr>
        <w:t>0</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L）共10个浓度梯度，将同一浓度梯度的各种质粒等体积混合后作为模板，在优化反应条件下进行多重PCR，分析其敏感性。结果，引物CO-ORF7以p-AM-ORF7或p-EU-ORF7为模板的检出下限均为1.67×10</w:t>
      </w:r>
      <w:r w:rsidRPr="005B4D1E">
        <w:rPr>
          <w:rFonts w:ascii="宋体" w:eastAsia="宋体" w:hAnsi="宋体" w:hint="eastAsia"/>
          <w:sz w:val="21"/>
          <w:szCs w:val="21"/>
          <w:vertAlign w:val="superscript"/>
        </w:rPr>
        <w:t>2</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L；引物AM-Nsp2以p-Nsp2-VR2332或p-Nsp2-JXA1为模板的检出下限均为1.67×10</w:t>
      </w:r>
      <w:r w:rsidRPr="005B4D1E">
        <w:rPr>
          <w:rFonts w:ascii="宋体" w:eastAsia="宋体" w:hAnsi="宋体" w:hint="eastAsia"/>
          <w:sz w:val="21"/>
          <w:szCs w:val="21"/>
          <w:vertAlign w:val="superscript"/>
        </w:rPr>
        <w:t>2</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L；引物EU-ORF5以p-EU-ORF5为模板的检出下限为1.67×10</w:t>
      </w:r>
      <w:r w:rsidRPr="005B4D1E">
        <w:rPr>
          <w:rFonts w:ascii="宋体" w:eastAsia="宋体" w:hAnsi="宋体" w:hint="eastAsia"/>
          <w:sz w:val="21"/>
          <w:szCs w:val="21"/>
          <w:vertAlign w:val="superscript"/>
        </w:rPr>
        <w:t>3</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L（见图</w:t>
      </w:r>
      <w:smartTag w:uri="urn:schemas-microsoft-com:office:smarttags" w:element="chmetcnv">
        <w:smartTagPr>
          <w:attr w:name="TCSC" w:val="0"/>
          <w:attr w:name="NumberType" w:val="1"/>
          <w:attr w:name="Negative" w:val="False"/>
          <w:attr w:name="HasSpace" w:val="False"/>
          <w:attr w:name="SourceValue" w:val="5"/>
          <w:attr w:name="UnitName" w:val="a"/>
        </w:smartTagPr>
        <w:r w:rsidRPr="005B4D1E">
          <w:rPr>
            <w:rFonts w:ascii="宋体" w:eastAsia="宋体" w:hAnsi="宋体" w:hint="eastAsia"/>
            <w:sz w:val="21"/>
            <w:szCs w:val="21"/>
          </w:rPr>
          <w:t>5A</w:t>
        </w:r>
      </w:smartTag>
      <w:r w:rsidRPr="005B4D1E">
        <w:rPr>
          <w:rFonts w:ascii="宋体" w:eastAsia="宋体" w:hAnsi="宋体" w:hint="eastAsia"/>
          <w:sz w:val="21"/>
          <w:szCs w:val="21"/>
        </w:rPr>
        <w:t>）。而将10倍系列稀释的5种重组质粒等体积混合后作为模板进行多重PCR，结果，3对引物的检出下限均为1.67xl0</w:t>
      </w:r>
      <w:r w:rsidRPr="005B4D1E">
        <w:rPr>
          <w:rFonts w:ascii="宋体" w:eastAsia="宋体" w:hAnsi="宋体" w:hint="eastAsia"/>
          <w:sz w:val="21"/>
          <w:szCs w:val="21"/>
          <w:vertAlign w:val="superscript"/>
        </w:rPr>
        <w:t>3</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L（见图5B）。</w:t>
      </w:r>
    </w:p>
    <w:p w:rsidR="009D14A5" w:rsidRPr="005B4D1E" w:rsidRDefault="009D14A5" w:rsidP="005B4D1E">
      <w:pPr>
        <w:spacing w:line="360" w:lineRule="auto"/>
        <w:ind w:firstLineChars="200" w:firstLine="420"/>
        <w:jc w:val="center"/>
        <w:rPr>
          <w:rFonts w:ascii="宋体" w:eastAsia="宋体" w:hAnsi="宋体"/>
          <w:sz w:val="21"/>
          <w:szCs w:val="21"/>
        </w:rPr>
      </w:pPr>
      <w:r w:rsidRPr="005B4D1E">
        <w:rPr>
          <w:rFonts w:ascii="宋体" w:eastAsia="宋体" w:hAnsi="宋体"/>
          <w:noProof/>
          <w:sz w:val="21"/>
          <w:szCs w:val="21"/>
        </w:rPr>
        <w:lastRenderedPageBreak/>
        <w:drawing>
          <wp:inline distT="0" distB="0" distL="0" distR="0">
            <wp:extent cx="4908550" cy="1898015"/>
            <wp:effectExtent l="1905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6" cstate="print"/>
                    <a:srcRect/>
                    <a:stretch>
                      <a:fillRect/>
                    </a:stretch>
                  </pic:blipFill>
                  <pic:spPr bwMode="auto">
                    <a:xfrm>
                      <a:off x="0" y="0"/>
                      <a:ext cx="4908550" cy="1898015"/>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M：DNA标准DL1500；1-9：1.67×l0</w:t>
      </w:r>
      <w:r w:rsidRPr="005B4D1E">
        <w:rPr>
          <w:rFonts w:ascii="宋体" w:eastAsia="宋体" w:hAnsi="宋体" w:hint="eastAsia"/>
          <w:sz w:val="21"/>
          <w:szCs w:val="21"/>
          <w:vertAlign w:val="superscript"/>
        </w:rPr>
        <w:t>9</w:t>
      </w:r>
      <w:r w:rsidRPr="005B4D1E">
        <w:rPr>
          <w:rFonts w:ascii="宋体" w:eastAsia="宋体" w:hAnsi="宋体" w:hint="eastAsia"/>
          <w:sz w:val="21"/>
          <w:szCs w:val="21"/>
        </w:rPr>
        <w:t>-l.67xl0</w:t>
      </w:r>
      <w:r w:rsidRPr="005B4D1E">
        <w:rPr>
          <w:rFonts w:ascii="宋体" w:eastAsia="宋体" w:hAnsi="宋体" w:hint="eastAsia"/>
          <w:sz w:val="21"/>
          <w:szCs w:val="21"/>
          <w:vertAlign w:val="superscript"/>
        </w:rPr>
        <w:t>1</w:t>
      </w:r>
      <w:r w:rsidRPr="005B4D1E">
        <w:rPr>
          <w:rFonts w:ascii="宋体" w:eastAsia="宋体" w:hAnsi="宋体" w:hint="eastAsia"/>
          <w:sz w:val="21"/>
          <w:szCs w:val="21"/>
        </w:rPr>
        <w:t xml:space="preserve"> copies/</w:t>
      </w:r>
      <w:r w:rsidRPr="005B4D1E">
        <w:rPr>
          <w:rFonts w:ascii="宋体" w:eastAsia="宋体" w:hAnsi="宋体"/>
          <w:sz w:val="21"/>
          <w:szCs w:val="21"/>
        </w:rPr>
        <w:t>µ</w:t>
      </w:r>
      <w:r w:rsidRPr="005B4D1E">
        <w:rPr>
          <w:rFonts w:ascii="宋体" w:eastAsia="宋体" w:hAnsi="宋体" w:hint="eastAsia"/>
          <w:sz w:val="21"/>
          <w:szCs w:val="21"/>
        </w:rPr>
        <w:t>L；10：阴性对照</w:t>
      </w:r>
    </w:p>
    <w:p w:rsidR="009D14A5" w:rsidRPr="005B4D1E" w:rsidRDefault="009D14A5" w:rsidP="003B0360">
      <w:pPr>
        <w:pStyle w:val="a5"/>
        <w:spacing w:after="156"/>
      </w:pPr>
      <w:bookmarkStart w:id="10" w:name="_Toc405816309"/>
      <w:r w:rsidRPr="005B4D1E">
        <w:rPr>
          <w:rFonts w:hint="eastAsia"/>
        </w:rPr>
        <w:t>图</w:t>
      </w:r>
      <w:r w:rsidR="003B0360">
        <w:rPr>
          <w:rFonts w:hint="eastAsia"/>
        </w:rPr>
        <w:t xml:space="preserve">5 </w:t>
      </w:r>
      <w:r w:rsidRPr="005B4D1E">
        <w:rPr>
          <w:rFonts w:hint="eastAsia"/>
        </w:rPr>
        <w:t>单重</w:t>
      </w:r>
      <w:r w:rsidRPr="005B4D1E">
        <w:rPr>
          <w:rFonts w:hint="eastAsia"/>
        </w:rPr>
        <w:t>PCR(A)</w:t>
      </w:r>
      <w:r w:rsidRPr="005B4D1E">
        <w:rPr>
          <w:rFonts w:hint="eastAsia"/>
        </w:rPr>
        <w:t>和多重</w:t>
      </w:r>
      <w:r w:rsidRPr="005B4D1E">
        <w:rPr>
          <w:rFonts w:hint="eastAsia"/>
        </w:rPr>
        <w:t>PCR</w:t>
      </w:r>
      <w:r w:rsidRPr="005B4D1E">
        <w:rPr>
          <w:rFonts w:hint="eastAsia"/>
        </w:rPr>
        <w:t>的敏感性试验</w:t>
      </w:r>
      <w:bookmarkEnd w:id="10"/>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多重PCR的重复性试验：</w:t>
      </w:r>
      <w:r w:rsidRPr="005B4D1E">
        <w:rPr>
          <w:rFonts w:ascii="宋体" w:eastAsia="宋体" w:hAnsi="宋体" w:hint="eastAsia"/>
          <w:sz w:val="21"/>
          <w:szCs w:val="21"/>
        </w:rPr>
        <w:t>以反应终浓度为1.67×10</w:t>
      </w:r>
      <w:r w:rsidRPr="005B4D1E">
        <w:rPr>
          <w:rFonts w:ascii="宋体" w:eastAsia="宋体" w:hAnsi="宋体" w:hint="eastAsia"/>
          <w:sz w:val="21"/>
          <w:szCs w:val="21"/>
          <w:vertAlign w:val="superscript"/>
        </w:rPr>
        <w:t>7</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L的重组质粒混合物为模板，在优化反应条件下进行多重PCR，重复5次反应。结果显示，5次重复试验均能扩增出均匀一致的目的片段（见图6），具有很好的重复性。</w:t>
      </w:r>
    </w:p>
    <w:p w:rsidR="009D14A5" w:rsidRPr="005B4D1E" w:rsidRDefault="009D14A5" w:rsidP="009D14A5">
      <w:pPr>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2837815" cy="1941195"/>
            <wp:effectExtent l="19050" t="0" r="63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7" cstate="print"/>
                    <a:srcRect/>
                    <a:stretch>
                      <a:fillRect/>
                    </a:stretch>
                  </pic:blipFill>
                  <pic:spPr bwMode="auto">
                    <a:xfrm>
                      <a:off x="0" y="0"/>
                      <a:ext cx="2837815" cy="1941195"/>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M：DNA标准DL1500；1-5：同等条件下的5次重复反应；6：阴性对照</w:t>
      </w:r>
    </w:p>
    <w:p w:rsidR="009D14A5" w:rsidRPr="005B4D1E" w:rsidRDefault="009D14A5" w:rsidP="003B0360">
      <w:pPr>
        <w:pStyle w:val="a5"/>
        <w:spacing w:after="156"/>
      </w:pPr>
      <w:bookmarkStart w:id="11" w:name="_Toc405816310"/>
      <w:r w:rsidRPr="005B4D1E">
        <w:rPr>
          <w:rFonts w:hint="eastAsia"/>
        </w:rPr>
        <w:t>图</w:t>
      </w:r>
      <w:r w:rsidR="003B0360">
        <w:rPr>
          <w:rFonts w:hint="eastAsia"/>
        </w:rPr>
        <w:t xml:space="preserve">6 </w:t>
      </w:r>
      <w:r w:rsidRPr="005B4D1E">
        <w:rPr>
          <w:rFonts w:hint="eastAsia"/>
        </w:rPr>
        <w:t>多重</w:t>
      </w:r>
      <w:r w:rsidRPr="005B4D1E">
        <w:rPr>
          <w:rFonts w:hint="eastAsia"/>
        </w:rPr>
        <w:t>PCR</w:t>
      </w:r>
      <w:r w:rsidRPr="005B4D1E">
        <w:rPr>
          <w:rFonts w:hint="eastAsia"/>
        </w:rPr>
        <w:t>的重复性试验</w:t>
      </w:r>
      <w:bookmarkEnd w:id="11"/>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多重PCR的临床应用：</w:t>
      </w:r>
      <w:r w:rsidRPr="005B4D1E">
        <w:rPr>
          <w:rFonts w:ascii="宋体" w:eastAsia="宋体" w:hAnsi="宋体" w:hint="eastAsia"/>
          <w:sz w:val="21"/>
          <w:szCs w:val="21"/>
        </w:rPr>
        <w:t>临床病料来自2010~2011年广西各地发病死亡的疑似病猪，共176份。取脾、肺、淋巴结各约</w:t>
      </w:r>
      <w:smartTag w:uri="urn:schemas-microsoft-com:office:smarttags" w:element="chmetcnv">
        <w:smartTagPr>
          <w:attr w:name="TCSC" w:val="0"/>
          <w:attr w:name="NumberType" w:val="1"/>
          <w:attr w:name="Negative" w:val="False"/>
          <w:attr w:name="HasSpace" w:val="False"/>
          <w:attr w:name="SourceValue" w:val="5"/>
          <w:attr w:name="UnitName" w:val="g"/>
        </w:smartTagPr>
        <w:r w:rsidRPr="005B4D1E">
          <w:rPr>
            <w:rFonts w:ascii="宋体" w:eastAsia="宋体" w:hAnsi="宋体" w:hint="eastAsia"/>
            <w:sz w:val="21"/>
            <w:szCs w:val="21"/>
          </w:rPr>
          <w:t>5g</w:t>
        </w:r>
      </w:smartTag>
      <w:r w:rsidRPr="005B4D1E">
        <w:rPr>
          <w:rFonts w:ascii="宋体" w:eastAsia="宋体" w:hAnsi="宋体" w:hint="eastAsia"/>
          <w:sz w:val="21"/>
          <w:szCs w:val="21"/>
        </w:rPr>
        <w:t>，混合研磨后按1：4(W/V)加入PBS(pH7.2)，反复冻融3次，10000r/min离心10min，取上清提取总RNA。应用所建立的多重PCR，进行PRRSV检测。结果，PRRSV阳性45份，阳性率为25.57%。其中，美洲型经典毒株4份，高致病性变异毒株41份；未检测到欧洲型毒株，也未检测到美洲型经典毒株和变异毒株混合感染的情况。随机选取经典毒株阳性样品4份、变异毒株阳性样品5份，回收PCR产物，克隆、测序，证实均为PRRSV。部分临床病料检测结果见图7。</w:t>
      </w:r>
    </w:p>
    <w:p w:rsidR="009D14A5" w:rsidRPr="005B4D1E" w:rsidRDefault="009D14A5" w:rsidP="005B4D1E">
      <w:pPr>
        <w:spacing w:line="360" w:lineRule="auto"/>
        <w:ind w:firstLineChars="200" w:firstLine="420"/>
        <w:rPr>
          <w:rFonts w:ascii="宋体" w:eastAsia="宋体" w:hAnsi="宋体"/>
          <w:sz w:val="21"/>
          <w:szCs w:val="21"/>
        </w:rPr>
      </w:pPr>
      <w:r w:rsidRPr="005B4D1E">
        <w:rPr>
          <w:rFonts w:ascii="宋体" w:eastAsia="宋体" w:hAnsi="宋体" w:hint="eastAsia"/>
          <w:sz w:val="21"/>
          <w:szCs w:val="21"/>
        </w:rPr>
        <w:lastRenderedPageBreak/>
        <w:t>同时，按照国家标准《猪繁殖与呼吸综合征诊断方法》(GB/T 18090-2008)中规定的RT-PCR方法对上述176临床疑似病料进行检测，结果PRRSV阳性45份，与本研究所建立的多重RT-PCR方法检测结果的符合率为100%。</w:t>
      </w:r>
    </w:p>
    <w:p w:rsidR="009D14A5" w:rsidRPr="005B4D1E" w:rsidRDefault="009D14A5" w:rsidP="009D14A5">
      <w:pPr>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3898900" cy="2009775"/>
            <wp:effectExtent l="1905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8" cstate="print"/>
                    <a:srcRect/>
                    <a:stretch>
                      <a:fillRect/>
                    </a:stretch>
                  </pic:blipFill>
                  <pic:spPr bwMode="auto">
                    <a:xfrm>
                      <a:off x="0" y="0"/>
                      <a:ext cx="3898900" cy="2009775"/>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M：DNA标准DL1500；1：阳性对照；2-12：临床样品；13：阴性对照</w:t>
      </w:r>
    </w:p>
    <w:p w:rsidR="009D14A5" w:rsidRPr="005B4D1E" w:rsidRDefault="009D14A5" w:rsidP="003B0360">
      <w:pPr>
        <w:pStyle w:val="a5"/>
        <w:spacing w:after="156"/>
      </w:pPr>
      <w:bookmarkStart w:id="12" w:name="_Toc405816311"/>
      <w:r w:rsidRPr="005B4D1E">
        <w:rPr>
          <w:rFonts w:hint="eastAsia"/>
        </w:rPr>
        <w:t>图</w:t>
      </w:r>
      <w:r w:rsidR="003B0360">
        <w:rPr>
          <w:rFonts w:hint="eastAsia"/>
        </w:rPr>
        <w:t xml:space="preserve">7 </w:t>
      </w:r>
      <w:r w:rsidRPr="005B4D1E">
        <w:rPr>
          <w:rFonts w:hint="eastAsia"/>
        </w:rPr>
        <w:t>部分临床阳性样品的检测结果</w:t>
      </w:r>
      <w:bookmarkEnd w:id="12"/>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小结：为建立PRRSV的快速鉴别检测方法，本研究针对PRRSV基因序列设计3对特异性引物，即第1对通用引物扩增美洲型和欧洲型毒株ORF7基因433bp/398bp片段、第2对引物扩增美洲型经典毒株和变异毒株Nsp2基因338bp/248bp片段、第3对引物扩增欧洲型毒株ORF5基因614bp片段。经过反应条件的优化，建立了能同时检测并区分美洲型经典毒株、高致病性变异毒株以及欧洲型毒株的多重RT-PCR检测方法。该方法可以特异扩增3种病毒的基因，而与猪的其它重要病原均无交叉反应；3种病毒重组质粒标准品的检出下限均为1.67×10</w:t>
      </w:r>
      <w:r w:rsidRPr="005B4D1E">
        <w:rPr>
          <w:rFonts w:ascii="宋体" w:eastAsia="宋体" w:hAnsi="宋体" w:hint="eastAsia"/>
          <w:sz w:val="21"/>
          <w:szCs w:val="21"/>
          <w:vertAlign w:val="superscript"/>
        </w:rPr>
        <w:t>3</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L。应用该方法检测176份临床疑似病料，结果PRRSV阳性45份，其中美洲型变异毒株41份、经典毒株4份，未检测到欧洲型毒株。表明，所建立的多重RT-PCR检测方法可以用于PRRSV的快速鉴别检测和流行病学调查。</w:t>
      </w:r>
    </w:p>
    <w:p w:rsidR="009D14A5" w:rsidRPr="005B4D1E" w:rsidRDefault="009D14A5" w:rsidP="005B4D1E">
      <w:pPr>
        <w:pStyle w:val="2"/>
      </w:pPr>
      <w:bookmarkStart w:id="13" w:name="_Toc405816268"/>
      <w:r w:rsidRPr="005B4D1E">
        <w:rPr>
          <w:rFonts w:hint="eastAsia"/>
        </w:rPr>
        <w:t>检测猪瘟病毒及美洲型、欧洲型</w:t>
      </w:r>
      <w:r w:rsidRPr="005B4D1E">
        <w:rPr>
          <w:rFonts w:hint="eastAsia"/>
        </w:rPr>
        <w:t>PRRSV</w:t>
      </w:r>
      <w:r w:rsidRPr="005B4D1E">
        <w:rPr>
          <w:rFonts w:hint="eastAsia"/>
        </w:rPr>
        <w:t>的多重</w:t>
      </w:r>
      <w:r w:rsidRPr="005B4D1E">
        <w:rPr>
          <w:rFonts w:hint="eastAsia"/>
        </w:rPr>
        <w:t>RT-PCR</w:t>
      </w:r>
      <w:r w:rsidRPr="005B4D1E">
        <w:rPr>
          <w:rFonts w:hint="eastAsia"/>
        </w:rPr>
        <w:t>检测方法</w:t>
      </w:r>
      <w:r w:rsidR="00EC0434">
        <w:rPr>
          <w:rFonts w:hint="eastAsia"/>
        </w:rPr>
        <w:t>的建立</w:t>
      </w:r>
      <w:bookmarkEnd w:id="13"/>
    </w:p>
    <w:p w:rsidR="009D14A5" w:rsidRPr="005B4D1E" w:rsidRDefault="009D14A5" w:rsidP="005B4D1E">
      <w:pPr>
        <w:spacing w:line="360" w:lineRule="auto"/>
        <w:ind w:firstLineChars="200" w:firstLine="420"/>
        <w:rPr>
          <w:rFonts w:ascii="宋体" w:eastAsia="宋体" w:hAnsi="宋体"/>
          <w:sz w:val="21"/>
          <w:szCs w:val="21"/>
        </w:rPr>
      </w:pPr>
      <w:r w:rsidRPr="005B4D1E">
        <w:rPr>
          <w:rFonts w:ascii="宋体" w:eastAsia="宋体" w:hAnsi="宋体" w:hint="eastAsia"/>
          <w:sz w:val="21"/>
          <w:szCs w:val="21"/>
        </w:rPr>
        <w:t>引物设计与合成：参考GenBank上登录的CSFV石门株(AF092448)、PRRSV美洲型经典毒株VR-2332株(AY150564)、高致病性变异毒株JXA1株(EF112445)以及欧洲型毒株LV株(M96262)的基因组序列，设计3对特异性引物（见表2）。其中，CSF-NS2引物对扩增CSFV NS2基因片段的大小为508bp；AM-Nsp2引物对扩增PRRSV美洲型毒株Nsp2基因片段的大小在经典毒株为338bp、在变异毒株为248bp；EU-ORF5引物对扩增PRRSV欧洲型毒株ORF5基因片段的大小为614bp。</w:t>
      </w:r>
    </w:p>
    <w:p w:rsidR="009D14A5" w:rsidRDefault="009D14A5" w:rsidP="009D14A5">
      <w:pPr>
        <w:spacing w:line="360" w:lineRule="auto"/>
        <w:rPr>
          <w:rFonts w:ascii="宋体" w:eastAsia="宋体" w:hAnsi="宋体"/>
          <w:sz w:val="21"/>
          <w:szCs w:val="21"/>
        </w:rPr>
      </w:pPr>
    </w:p>
    <w:p w:rsidR="003B0360" w:rsidRPr="005B4D1E" w:rsidRDefault="003B0360" w:rsidP="009D14A5">
      <w:pPr>
        <w:spacing w:line="360" w:lineRule="auto"/>
        <w:rPr>
          <w:rFonts w:ascii="宋体" w:eastAsia="宋体" w:hAnsi="宋体"/>
          <w:sz w:val="21"/>
          <w:szCs w:val="21"/>
        </w:rPr>
      </w:pPr>
    </w:p>
    <w:p w:rsidR="009D14A5" w:rsidRPr="005B4D1E" w:rsidRDefault="009D14A5" w:rsidP="003B0360">
      <w:pPr>
        <w:pStyle w:val="a6"/>
        <w:spacing w:before="156"/>
      </w:pPr>
      <w:bookmarkStart w:id="14" w:name="_Toc405816409"/>
      <w:r w:rsidRPr="005B4D1E">
        <w:rPr>
          <w:rFonts w:hint="eastAsia"/>
        </w:rPr>
        <w:t>表</w:t>
      </w:r>
      <w:r w:rsidR="003B0360">
        <w:rPr>
          <w:rFonts w:hint="eastAsia"/>
        </w:rPr>
        <w:t xml:space="preserve">2 </w:t>
      </w:r>
      <w:r w:rsidRPr="005B4D1E">
        <w:rPr>
          <w:rFonts w:hint="eastAsia"/>
        </w:rPr>
        <w:t>多重</w:t>
      </w:r>
      <w:r w:rsidRPr="005B4D1E">
        <w:rPr>
          <w:rFonts w:hint="eastAsia"/>
        </w:rPr>
        <w:t>RT-PCR</w:t>
      </w:r>
      <w:r w:rsidRPr="005B4D1E">
        <w:rPr>
          <w:rFonts w:hint="eastAsia"/>
        </w:rPr>
        <w:t>特异性引物</w:t>
      </w:r>
      <w:bookmarkEnd w:id="14"/>
    </w:p>
    <w:p w:rsidR="009D14A5" w:rsidRPr="005B4D1E" w:rsidRDefault="009D14A5" w:rsidP="009D14A5">
      <w:pPr>
        <w:spacing w:line="360" w:lineRule="auto"/>
        <w:jc w:val="center"/>
        <w:rPr>
          <w:rFonts w:ascii="宋体" w:eastAsia="宋体" w:hAnsi="宋体"/>
          <w:b/>
          <w:bCs/>
          <w:sz w:val="21"/>
          <w:szCs w:val="21"/>
        </w:rPr>
      </w:pPr>
      <w:r w:rsidRPr="005B4D1E">
        <w:rPr>
          <w:rFonts w:ascii="宋体" w:eastAsia="宋体" w:hAnsi="宋体"/>
          <w:noProof/>
          <w:sz w:val="21"/>
          <w:szCs w:val="21"/>
        </w:rPr>
        <w:drawing>
          <wp:inline distT="0" distB="0" distL="0" distR="0">
            <wp:extent cx="4580890" cy="1492250"/>
            <wp:effectExtent l="1905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9" cstate="print"/>
                    <a:srcRect/>
                    <a:stretch>
                      <a:fillRect/>
                    </a:stretch>
                  </pic:blipFill>
                  <pic:spPr bwMode="auto">
                    <a:xfrm>
                      <a:off x="0" y="0"/>
                      <a:ext cx="4580890" cy="1492250"/>
                    </a:xfrm>
                    <a:prstGeom prst="rect">
                      <a:avLst/>
                    </a:prstGeom>
                    <a:noFill/>
                    <a:ln w="9525">
                      <a:noFill/>
                      <a:miter lim="800000"/>
                      <a:headEnd/>
                      <a:tailEnd/>
                    </a:ln>
                  </pic:spPr>
                </pic:pic>
              </a:graphicData>
            </a:graphic>
          </wp:inline>
        </w:drawing>
      </w:r>
    </w:p>
    <w:p w:rsidR="009D14A5" w:rsidRPr="005B4D1E" w:rsidRDefault="009D14A5" w:rsidP="009D14A5">
      <w:pPr>
        <w:wordWrap w:val="0"/>
        <w:spacing w:line="360" w:lineRule="auto"/>
        <w:rPr>
          <w:rFonts w:ascii="宋体" w:eastAsia="宋体" w:hAnsi="宋体"/>
          <w:sz w:val="21"/>
          <w:szCs w:val="21"/>
        </w:rPr>
      </w:pPr>
      <w:r w:rsidRPr="005B4D1E">
        <w:rPr>
          <w:rFonts w:ascii="宋体" w:eastAsia="宋体" w:hAnsi="宋体" w:hint="eastAsia"/>
          <w:sz w:val="21"/>
          <w:szCs w:val="21"/>
        </w:rPr>
        <w:t xml:space="preserve">    病毒重组质粒标准品制备：分别取CSFV C株和PRRSV VR-2332株、JXA1-R株细胞培养液，用RNA提取试剂盒抽提病毒总RNA后，应用PCR试剂盒进行反转录获得cDNA。以病毒cDNA或重组质粒p-EU-ORF567为模板，分别应用3对特异性引物，建立50</w:t>
      </w:r>
      <w:r w:rsidRPr="005B4D1E">
        <w:rPr>
          <w:rFonts w:ascii="宋体" w:eastAsia="宋体" w:hAnsi="宋体"/>
          <w:sz w:val="21"/>
          <w:szCs w:val="21"/>
        </w:rPr>
        <w:t>µ</w:t>
      </w:r>
      <w:r w:rsidRPr="005B4D1E">
        <w:rPr>
          <w:rFonts w:ascii="宋体" w:eastAsia="宋体" w:hAnsi="宋体" w:hint="eastAsia"/>
          <w:sz w:val="21"/>
          <w:szCs w:val="21"/>
        </w:rPr>
        <w:t>L PCR反应体系：5</w:t>
      </w:r>
      <w:r w:rsidRPr="005B4D1E">
        <w:rPr>
          <w:rFonts w:ascii="宋体" w:eastAsia="宋体" w:hAnsi="宋体" w:cs="Arial"/>
          <w:sz w:val="21"/>
          <w:szCs w:val="21"/>
        </w:rPr>
        <w:t>×</w:t>
      </w:r>
      <w:r w:rsidRPr="005B4D1E">
        <w:rPr>
          <w:rFonts w:ascii="宋体" w:eastAsia="宋体" w:hAnsi="宋体" w:hint="eastAsia"/>
          <w:sz w:val="21"/>
          <w:szCs w:val="21"/>
        </w:rPr>
        <w:t>buffer 10</w:t>
      </w:r>
      <w:r w:rsidRPr="005B4D1E">
        <w:rPr>
          <w:rFonts w:ascii="宋体" w:eastAsia="宋体" w:hAnsi="宋体"/>
          <w:sz w:val="21"/>
          <w:szCs w:val="21"/>
        </w:rPr>
        <w:t>µ</w:t>
      </w:r>
      <w:r w:rsidRPr="005B4D1E">
        <w:rPr>
          <w:rFonts w:ascii="宋体" w:eastAsia="宋体" w:hAnsi="宋体" w:hint="eastAsia"/>
          <w:sz w:val="21"/>
          <w:szCs w:val="21"/>
        </w:rPr>
        <w:t>L，灭菌双蒸水33.75</w:t>
      </w:r>
      <w:r w:rsidRPr="005B4D1E">
        <w:rPr>
          <w:rFonts w:ascii="宋体" w:eastAsia="宋体" w:hAnsi="宋体"/>
          <w:sz w:val="21"/>
          <w:szCs w:val="21"/>
        </w:rPr>
        <w:t>µ</w:t>
      </w:r>
      <w:r w:rsidRPr="005B4D1E">
        <w:rPr>
          <w:rFonts w:ascii="宋体" w:eastAsia="宋体" w:hAnsi="宋体" w:hint="eastAsia"/>
          <w:sz w:val="21"/>
          <w:szCs w:val="21"/>
        </w:rPr>
        <w:t>L，Ex Taq HS聚合酶(5U/</w:t>
      </w:r>
      <w:r w:rsidRPr="005B4D1E">
        <w:rPr>
          <w:rFonts w:ascii="宋体" w:eastAsia="宋体" w:hAnsi="宋体"/>
          <w:sz w:val="21"/>
          <w:szCs w:val="21"/>
        </w:rPr>
        <w:t>µ</w:t>
      </w:r>
      <w:r w:rsidRPr="005B4D1E">
        <w:rPr>
          <w:rFonts w:ascii="宋体" w:eastAsia="宋体" w:hAnsi="宋体" w:hint="eastAsia"/>
          <w:sz w:val="21"/>
          <w:szCs w:val="21"/>
        </w:rPr>
        <w:t>L)0.25</w:t>
      </w:r>
      <w:r w:rsidRPr="005B4D1E">
        <w:rPr>
          <w:rFonts w:ascii="宋体" w:eastAsia="宋体" w:hAnsi="宋体"/>
          <w:sz w:val="21"/>
          <w:szCs w:val="21"/>
        </w:rPr>
        <w:t>µ</w:t>
      </w:r>
      <w:r w:rsidRPr="005B4D1E">
        <w:rPr>
          <w:rFonts w:ascii="宋体" w:eastAsia="宋体" w:hAnsi="宋体" w:hint="eastAsia"/>
          <w:sz w:val="21"/>
          <w:szCs w:val="21"/>
        </w:rPr>
        <w:t>L，上、下游引物（25pmol/</w:t>
      </w:r>
      <w:r w:rsidRPr="005B4D1E">
        <w:rPr>
          <w:rFonts w:ascii="宋体" w:eastAsia="宋体" w:hAnsi="宋体"/>
          <w:sz w:val="21"/>
          <w:szCs w:val="21"/>
        </w:rPr>
        <w:t>µ</w:t>
      </w:r>
      <w:r w:rsidRPr="005B4D1E">
        <w:rPr>
          <w:rFonts w:ascii="宋体" w:eastAsia="宋体" w:hAnsi="宋体" w:hint="eastAsia"/>
          <w:sz w:val="21"/>
          <w:szCs w:val="21"/>
        </w:rPr>
        <w:t>L）各0.5</w:t>
      </w:r>
      <w:r w:rsidRPr="005B4D1E">
        <w:rPr>
          <w:rFonts w:ascii="宋体" w:eastAsia="宋体" w:hAnsi="宋体"/>
          <w:sz w:val="21"/>
          <w:szCs w:val="21"/>
        </w:rPr>
        <w:t>µ</w:t>
      </w:r>
      <w:r w:rsidRPr="005B4D1E">
        <w:rPr>
          <w:rFonts w:ascii="宋体" w:eastAsia="宋体" w:hAnsi="宋体" w:hint="eastAsia"/>
          <w:sz w:val="21"/>
          <w:szCs w:val="21"/>
        </w:rPr>
        <w:t>L，cDNA 5</w:t>
      </w:r>
      <w:r w:rsidRPr="005B4D1E">
        <w:rPr>
          <w:rFonts w:ascii="宋体" w:eastAsia="宋体" w:hAnsi="宋体"/>
          <w:sz w:val="21"/>
          <w:szCs w:val="21"/>
        </w:rPr>
        <w:t>µ</w:t>
      </w:r>
      <w:r w:rsidRPr="005B4D1E">
        <w:rPr>
          <w:rFonts w:ascii="宋体" w:eastAsia="宋体" w:hAnsi="宋体" w:hint="eastAsia"/>
          <w:sz w:val="21"/>
          <w:szCs w:val="21"/>
        </w:rPr>
        <w:t>L。反应程序为：</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smartTag>
      <w:r w:rsidRPr="005B4D1E">
        <w:rPr>
          <w:rFonts w:ascii="宋体" w:eastAsia="宋体" w:hAnsi="宋体" w:hint="eastAsia"/>
          <w:sz w:val="21"/>
          <w:szCs w:val="21"/>
        </w:rPr>
        <w:t>2min；</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smartTag>
      <w:r w:rsidRPr="005B4D1E">
        <w:rPr>
          <w:rFonts w:ascii="宋体" w:eastAsia="宋体" w:hAnsi="宋体" w:hint="eastAsia"/>
          <w:sz w:val="21"/>
          <w:szCs w:val="21"/>
        </w:rPr>
        <w:t>30s，</w:t>
      </w:r>
      <w:smartTag w:uri="urn:schemas-microsoft-com:office:smarttags" w:element="chmetcnv">
        <w:smartTagPr>
          <w:attr w:name="TCSC" w:val="0"/>
          <w:attr w:name="NumberType" w:val="1"/>
          <w:attr w:name="Negative" w:val="False"/>
          <w:attr w:name="HasSpace" w:val="False"/>
          <w:attr w:name="SourceValue" w:val="56"/>
          <w:attr w:name="UnitName" w:val="℃"/>
        </w:smartTagPr>
        <w:r w:rsidRPr="005B4D1E">
          <w:rPr>
            <w:rFonts w:ascii="宋体" w:eastAsia="宋体" w:hAnsi="宋体" w:hint="eastAsia"/>
            <w:sz w:val="21"/>
            <w:szCs w:val="21"/>
          </w:rPr>
          <w:t>56</w:t>
        </w:r>
        <w:r w:rsidRPr="005B4D1E">
          <w:rPr>
            <w:rFonts w:ascii="宋体" w:eastAsia="宋体" w:hAnsi="宋体" w:cs="Arial"/>
            <w:sz w:val="21"/>
            <w:szCs w:val="21"/>
          </w:rPr>
          <w:t>℃</w:t>
        </w:r>
      </w:smartTag>
      <w:r w:rsidRPr="005B4D1E">
        <w:rPr>
          <w:rFonts w:ascii="宋体" w:eastAsia="宋体" w:hAnsi="宋体" w:hint="eastAsia"/>
          <w:sz w:val="21"/>
          <w:szCs w:val="21"/>
        </w:rPr>
        <w:t>～</w:t>
      </w:r>
      <w:smartTag w:uri="urn:schemas-microsoft-com:office:smarttags" w:element="chmetcnv">
        <w:smartTagPr>
          <w:attr w:name="TCSC" w:val="0"/>
          <w:attr w:name="NumberType" w:val="1"/>
          <w:attr w:name="Negative" w:val="False"/>
          <w:attr w:name="HasSpace" w:val="False"/>
          <w:attr w:name="SourceValue" w:val="58"/>
          <w:attr w:name="UnitName" w:val="℃"/>
        </w:smartTagPr>
        <w:r w:rsidRPr="005B4D1E">
          <w:rPr>
            <w:rFonts w:ascii="宋体" w:eastAsia="宋体" w:hAnsi="宋体" w:hint="eastAsia"/>
            <w:sz w:val="21"/>
            <w:szCs w:val="21"/>
          </w:rPr>
          <w:t>58℃</w:t>
        </w:r>
      </w:smartTag>
      <w:r w:rsidRPr="005B4D1E">
        <w:rPr>
          <w:rFonts w:ascii="宋体" w:eastAsia="宋体" w:hAnsi="宋体" w:hint="eastAsia"/>
          <w:sz w:val="21"/>
          <w:szCs w:val="21"/>
        </w:rPr>
        <w:t>30s，</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45s，35个循环；最后</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10min。回收PCR产物、连接pMD18-T载体、转化到DH5</w:t>
      </w:r>
      <w:r w:rsidRPr="005B4D1E">
        <w:rPr>
          <w:rFonts w:ascii="宋体" w:eastAsia="宋体" w:hAnsi="宋体" w:cs="Arial"/>
          <w:sz w:val="21"/>
          <w:szCs w:val="21"/>
        </w:rPr>
        <w:t>α</w:t>
      </w:r>
      <w:r w:rsidRPr="005B4D1E">
        <w:rPr>
          <w:rFonts w:ascii="宋体" w:eastAsia="宋体" w:hAnsi="宋体" w:hint="eastAsia"/>
          <w:sz w:val="21"/>
          <w:szCs w:val="21"/>
        </w:rPr>
        <w:t>感受态细胞、培养后提取质粒进行PCR、酶切及测序鉴定。共构建4种重组质粒，其中由引物CSF-NS2扩增产物构建的重组质粒命名为p-CSF-NS2，引物AM-Nsp2扩增产物构建的重组质粒分别命名为p-Nsp2-VR2332、p-Nsp2-JXA1，引物EU-ORF5扩增产物构建的重组质粒命名为p-EU-ORF5（见图8）。含有PRRSV美洲型毒株ORF5基因的重组质粒p-AM-ORF5、分别含有欧洲型毒株Nsp2基因片段、ORF567基因片段的重组质粒p-EU-ORFla、p-EU-ORF567由中国农业科学院北京畜牧兽医研究所兽医研究室惠赠。</w:t>
      </w:r>
    </w:p>
    <w:p w:rsidR="009D14A5" w:rsidRPr="005B4D1E" w:rsidRDefault="009D14A5" w:rsidP="009D14A5">
      <w:pPr>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5270500" cy="1311275"/>
            <wp:effectExtent l="1905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20" cstate="print"/>
                    <a:srcRect/>
                    <a:stretch>
                      <a:fillRect/>
                    </a:stretch>
                  </pic:blipFill>
                  <pic:spPr bwMode="auto">
                    <a:xfrm>
                      <a:off x="0" y="0"/>
                      <a:ext cx="5270500" cy="1311275"/>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M：DNA标准DL 1500；1：EcoR I+Hind III酶切产物；2：PCR产物</w:t>
      </w:r>
    </w:p>
    <w:p w:rsidR="009D14A5" w:rsidRPr="005B4D1E" w:rsidRDefault="009D14A5" w:rsidP="003B0360">
      <w:pPr>
        <w:pStyle w:val="a5"/>
        <w:spacing w:after="156"/>
      </w:pPr>
      <w:bookmarkStart w:id="15" w:name="_Toc405816312"/>
      <w:r w:rsidRPr="005B4D1E">
        <w:rPr>
          <w:rFonts w:hint="eastAsia"/>
        </w:rPr>
        <w:t>图</w:t>
      </w:r>
      <w:r w:rsidR="003B0360">
        <w:rPr>
          <w:rFonts w:hint="eastAsia"/>
        </w:rPr>
        <w:t xml:space="preserve">8 </w:t>
      </w:r>
      <w:r w:rsidRPr="005B4D1E">
        <w:rPr>
          <w:rFonts w:hint="eastAsia"/>
        </w:rPr>
        <w:t>重组质粒鉴定</w:t>
      </w:r>
      <w:bookmarkEnd w:id="15"/>
    </w:p>
    <w:p w:rsidR="009D14A5" w:rsidRPr="005B4D1E" w:rsidRDefault="009D14A5" w:rsidP="005B4D1E">
      <w:pPr>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多重PCR退火温度的确定：</w:t>
      </w:r>
      <w:r w:rsidRPr="005B4D1E">
        <w:rPr>
          <w:rFonts w:ascii="宋体" w:eastAsia="宋体" w:hAnsi="宋体" w:hint="eastAsia"/>
          <w:sz w:val="21"/>
          <w:szCs w:val="21"/>
        </w:rPr>
        <w:t>建立50</w:t>
      </w:r>
      <w:r w:rsidRPr="005B4D1E">
        <w:rPr>
          <w:rFonts w:ascii="宋体" w:eastAsia="宋体" w:hAnsi="宋体"/>
          <w:sz w:val="21"/>
          <w:szCs w:val="21"/>
        </w:rPr>
        <w:t>µ</w:t>
      </w:r>
      <w:r w:rsidRPr="005B4D1E">
        <w:rPr>
          <w:rFonts w:ascii="宋体" w:eastAsia="宋体" w:hAnsi="宋体" w:hint="eastAsia"/>
          <w:sz w:val="21"/>
          <w:szCs w:val="21"/>
        </w:rPr>
        <w:t>L PCR反应体系：包括5×RT buffer 10</w:t>
      </w:r>
      <w:r w:rsidRPr="005B4D1E">
        <w:rPr>
          <w:rFonts w:ascii="宋体" w:eastAsia="宋体" w:hAnsi="宋体"/>
          <w:sz w:val="21"/>
          <w:szCs w:val="21"/>
        </w:rPr>
        <w:t>µ</w:t>
      </w:r>
      <w:r w:rsidRPr="005B4D1E">
        <w:rPr>
          <w:rFonts w:ascii="宋体" w:eastAsia="宋体" w:hAnsi="宋体" w:hint="eastAsia"/>
          <w:sz w:val="21"/>
          <w:szCs w:val="21"/>
        </w:rPr>
        <w:t>L，Ex Taq HS聚合酶（5U/</w:t>
      </w:r>
      <w:r w:rsidRPr="005B4D1E">
        <w:rPr>
          <w:rFonts w:ascii="宋体" w:eastAsia="宋体" w:hAnsi="宋体"/>
          <w:sz w:val="21"/>
          <w:szCs w:val="21"/>
        </w:rPr>
        <w:t>µ</w:t>
      </w:r>
      <w:r w:rsidRPr="005B4D1E">
        <w:rPr>
          <w:rFonts w:ascii="宋体" w:eastAsia="宋体" w:hAnsi="宋体" w:hint="eastAsia"/>
          <w:sz w:val="21"/>
          <w:szCs w:val="21"/>
        </w:rPr>
        <w:t>L）0.25</w:t>
      </w:r>
      <w:r w:rsidRPr="005B4D1E">
        <w:rPr>
          <w:rFonts w:ascii="宋体" w:eastAsia="宋体" w:hAnsi="宋体"/>
          <w:sz w:val="21"/>
          <w:szCs w:val="21"/>
        </w:rPr>
        <w:t>µ</w:t>
      </w:r>
      <w:r w:rsidRPr="005B4D1E">
        <w:rPr>
          <w:rFonts w:ascii="宋体" w:eastAsia="宋体" w:hAnsi="宋体" w:hint="eastAsia"/>
          <w:sz w:val="21"/>
          <w:szCs w:val="21"/>
        </w:rPr>
        <w:t>L，3对特异性引物的上、下游引物（25pmol/</w:t>
      </w:r>
      <w:r w:rsidRPr="005B4D1E">
        <w:rPr>
          <w:rFonts w:ascii="宋体" w:eastAsia="宋体" w:hAnsi="宋体"/>
          <w:sz w:val="21"/>
          <w:szCs w:val="21"/>
        </w:rPr>
        <w:t>µ</w:t>
      </w:r>
      <w:r w:rsidRPr="005B4D1E">
        <w:rPr>
          <w:rFonts w:ascii="宋体" w:eastAsia="宋体" w:hAnsi="宋体" w:hint="eastAsia"/>
          <w:sz w:val="21"/>
          <w:szCs w:val="21"/>
        </w:rPr>
        <w:t>L）各0.5</w:t>
      </w:r>
      <w:r w:rsidRPr="005B4D1E">
        <w:rPr>
          <w:rFonts w:ascii="宋体" w:eastAsia="宋体" w:hAnsi="宋体"/>
          <w:sz w:val="21"/>
          <w:szCs w:val="21"/>
        </w:rPr>
        <w:t>µ</w:t>
      </w:r>
      <w:r w:rsidRPr="005B4D1E">
        <w:rPr>
          <w:rFonts w:ascii="宋体" w:eastAsia="宋体" w:hAnsi="宋体" w:hint="eastAsia"/>
          <w:sz w:val="21"/>
          <w:szCs w:val="21"/>
        </w:rPr>
        <w:t>L，等比例混合的4种重组质粒5</w:t>
      </w:r>
      <w:r w:rsidRPr="005B4D1E">
        <w:rPr>
          <w:rFonts w:ascii="宋体" w:eastAsia="宋体" w:hAnsi="宋体"/>
          <w:sz w:val="21"/>
          <w:szCs w:val="21"/>
        </w:rPr>
        <w:t>µ</w:t>
      </w:r>
      <w:r w:rsidRPr="005B4D1E">
        <w:rPr>
          <w:rFonts w:ascii="宋体" w:eastAsia="宋体" w:hAnsi="宋体" w:hint="eastAsia"/>
          <w:sz w:val="21"/>
          <w:szCs w:val="21"/>
        </w:rPr>
        <w:t>L，灭菌双蒸水补至50</w:t>
      </w:r>
      <w:r w:rsidRPr="005B4D1E">
        <w:rPr>
          <w:rFonts w:ascii="宋体" w:eastAsia="宋体" w:hAnsi="宋体"/>
          <w:sz w:val="21"/>
          <w:szCs w:val="21"/>
        </w:rPr>
        <w:t>µ</w:t>
      </w:r>
      <w:r w:rsidRPr="005B4D1E">
        <w:rPr>
          <w:rFonts w:ascii="宋体" w:eastAsia="宋体" w:hAnsi="宋体" w:hint="eastAsia"/>
          <w:sz w:val="21"/>
          <w:szCs w:val="21"/>
        </w:rPr>
        <w:t>L。在55.1</w:t>
      </w:r>
      <w:r w:rsidRPr="005B4D1E">
        <w:rPr>
          <w:rFonts w:ascii="宋体" w:eastAsia="宋体" w:hAnsi="宋体" w:cs="Arial"/>
          <w:sz w:val="21"/>
          <w:szCs w:val="21"/>
        </w:rPr>
        <w:t>℃</w:t>
      </w:r>
      <w:r w:rsidRPr="005B4D1E">
        <w:rPr>
          <w:rFonts w:ascii="宋体" w:eastAsia="宋体" w:hAnsi="宋体" w:hint="eastAsia"/>
          <w:sz w:val="21"/>
          <w:szCs w:val="21"/>
        </w:rPr>
        <w:t>～</w:t>
      </w:r>
      <w:smartTag w:uri="urn:schemas-microsoft-com:office:smarttags" w:element="chmetcnv">
        <w:smartTagPr>
          <w:attr w:name="TCSC" w:val="0"/>
          <w:attr w:name="NumberType" w:val="1"/>
          <w:attr w:name="Negative" w:val="False"/>
          <w:attr w:name="HasSpace" w:val="False"/>
          <w:attr w:name="SourceValue" w:val="60"/>
          <w:attr w:name="UnitName" w:val="℃"/>
        </w:smartTagPr>
        <w:r w:rsidRPr="005B4D1E">
          <w:rPr>
            <w:rFonts w:ascii="宋体" w:eastAsia="宋体" w:hAnsi="宋体" w:hint="eastAsia"/>
            <w:sz w:val="21"/>
            <w:szCs w:val="21"/>
          </w:rPr>
          <w:t>60℃</w:t>
        </w:r>
      </w:smartTag>
      <w:r w:rsidRPr="005B4D1E">
        <w:rPr>
          <w:rFonts w:ascii="宋体" w:eastAsia="宋体" w:hAnsi="宋体" w:hint="eastAsia"/>
          <w:sz w:val="21"/>
          <w:szCs w:val="21"/>
        </w:rPr>
        <w:t>间设定6个退火温度</w:t>
      </w:r>
      <w:r w:rsidRPr="005B4D1E">
        <w:rPr>
          <w:rFonts w:ascii="宋体" w:eastAsia="宋体" w:hAnsi="宋体" w:hint="eastAsia"/>
          <w:sz w:val="21"/>
          <w:szCs w:val="21"/>
        </w:rPr>
        <w:lastRenderedPageBreak/>
        <w:t>进行梯度PCR，结果各个退火温度均能扩增出条带（见图9）。在</w:t>
      </w:r>
      <w:smartTag w:uri="urn:schemas-microsoft-com:office:smarttags" w:element="chmetcnv">
        <w:smartTagPr>
          <w:attr w:name="TCSC" w:val="0"/>
          <w:attr w:name="NumberType" w:val="1"/>
          <w:attr w:name="Negative" w:val="False"/>
          <w:attr w:name="HasSpace" w:val="False"/>
          <w:attr w:name="SourceValue" w:val="57.3"/>
          <w:attr w:name="UnitName" w:val="℃"/>
        </w:smartTagPr>
        <w:r w:rsidRPr="005B4D1E">
          <w:rPr>
            <w:rFonts w:ascii="宋体" w:eastAsia="宋体" w:hAnsi="宋体" w:hint="eastAsia"/>
            <w:sz w:val="21"/>
            <w:szCs w:val="21"/>
          </w:rPr>
          <w:t>57.3℃</w:t>
        </w:r>
      </w:smartTag>
      <w:r w:rsidRPr="005B4D1E">
        <w:rPr>
          <w:rFonts w:ascii="宋体" w:eastAsia="宋体" w:hAnsi="宋体" w:hint="eastAsia"/>
          <w:sz w:val="21"/>
          <w:szCs w:val="21"/>
        </w:rPr>
        <w:t>条带最清晰，且不存在非特异性条带，确定为最佳退火温度。</w:t>
      </w:r>
    </w:p>
    <w:p w:rsidR="009D14A5" w:rsidRPr="005B4D1E" w:rsidRDefault="009D14A5" w:rsidP="005B4D1E">
      <w:pPr>
        <w:spacing w:line="360" w:lineRule="auto"/>
        <w:ind w:firstLineChars="200" w:firstLine="420"/>
        <w:jc w:val="center"/>
        <w:rPr>
          <w:rFonts w:ascii="宋体" w:eastAsia="宋体" w:hAnsi="宋体"/>
          <w:sz w:val="21"/>
          <w:szCs w:val="21"/>
        </w:rPr>
      </w:pPr>
      <w:r w:rsidRPr="005B4D1E">
        <w:rPr>
          <w:rFonts w:ascii="宋体" w:eastAsia="宋体" w:hAnsi="宋体"/>
          <w:noProof/>
          <w:sz w:val="21"/>
          <w:szCs w:val="21"/>
        </w:rPr>
        <w:drawing>
          <wp:inline distT="0" distB="0" distL="0" distR="0">
            <wp:extent cx="2682875" cy="1431925"/>
            <wp:effectExtent l="19050" t="0" r="317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1" cstate="print"/>
                    <a:srcRect/>
                    <a:stretch>
                      <a:fillRect/>
                    </a:stretch>
                  </pic:blipFill>
                  <pic:spPr bwMode="auto">
                    <a:xfrm>
                      <a:off x="0" y="0"/>
                      <a:ext cx="2682875" cy="1431925"/>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M：DNA标准DL1500；1：</w:t>
      </w:r>
      <w:smartTag w:uri="urn:schemas-microsoft-com:office:smarttags" w:element="chmetcnv">
        <w:smartTagPr>
          <w:attr w:name="TCSC" w:val="0"/>
          <w:attr w:name="NumberType" w:val="1"/>
          <w:attr w:name="Negative" w:val="False"/>
          <w:attr w:name="HasSpace" w:val="False"/>
          <w:attr w:name="SourceValue" w:val="55.1"/>
          <w:attr w:name="UnitName" w:val="℃"/>
        </w:smartTagPr>
        <w:r w:rsidRPr="005B4D1E">
          <w:rPr>
            <w:rFonts w:ascii="宋体" w:eastAsia="宋体" w:hAnsi="宋体" w:hint="eastAsia"/>
            <w:sz w:val="21"/>
            <w:szCs w:val="21"/>
          </w:rPr>
          <w:t>55.1℃</w:t>
        </w:r>
      </w:smartTag>
      <w:r w:rsidRPr="005B4D1E">
        <w:rPr>
          <w:rFonts w:ascii="宋体" w:eastAsia="宋体" w:hAnsi="宋体" w:hint="eastAsia"/>
          <w:sz w:val="21"/>
          <w:szCs w:val="21"/>
        </w:rPr>
        <w:t>；2：</w:t>
      </w:r>
      <w:smartTag w:uri="urn:schemas-microsoft-com:office:smarttags" w:element="chmetcnv">
        <w:smartTagPr>
          <w:attr w:name="TCSC" w:val="0"/>
          <w:attr w:name="NumberType" w:val="1"/>
          <w:attr w:name="Negative" w:val="False"/>
          <w:attr w:name="HasSpace" w:val="False"/>
          <w:attr w:name="SourceValue" w:val="56.2"/>
          <w:attr w:name="UnitName" w:val="℃"/>
        </w:smartTagPr>
        <w:r w:rsidRPr="005B4D1E">
          <w:rPr>
            <w:rFonts w:ascii="宋体" w:eastAsia="宋体" w:hAnsi="宋体" w:hint="eastAsia"/>
            <w:sz w:val="21"/>
            <w:szCs w:val="21"/>
          </w:rPr>
          <w:t>56.2℃</w:t>
        </w:r>
      </w:smartTag>
      <w:r w:rsidRPr="005B4D1E">
        <w:rPr>
          <w:rFonts w:ascii="宋体" w:eastAsia="宋体" w:hAnsi="宋体" w:hint="eastAsia"/>
          <w:sz w:val="21"/>
          <w:szCs w:val="21"/>
        </w:rPr>
        <w:t>；3：</w:t>
      </w:r>
      <w:smartTag w:uri="urn:schemas-microsoft-com:office:smarttags" w:element="chmetcnv">
        <w:smartTagPr>
          <w:attr w:name="TCSC" w:val="0"/>
          <w:attr w:name="NumberType" w:val="1"/>
          <w:attr w:name="Negative" w:val="False"/>
          <w:attr w:name="HasSpace" w:val="False"/>
          <w:attr w:name="SourceValue" w:val="57.3"/>
          <w:attr w:name="UnitName" w:val="℃"/>
        </w:smartTagPr>
        <w:r w:rsidRPr="005B4D1E">
          <w:rPr>
            <w:rFonts w:ascii="宋体" w:eastAsia="宋体" w:hAnsi="宋体" w:hint="eastAsia"/>
            <w:sz w:val="21"/>
            <w:szCs w:val="21"/>
          </w:rPr>
          <w:t>57.3℃</w:t>
        </w:r>
      </w:smartTag>
      <w:r w:rsidRPr="005B4D1E">
        <w:rPr>
          <w:rFonts w:ascii="宋体" w:eastAsia="宋体" w:hAnsi="宋体" w:hint="eastAsia"/>
          <w:sz w:val="21"/>
          <w:szCs w:val="21"/>
        </w:rPr>
        <w:t>；4：</w:t>
      </w:r>
      <w:smartTag w:uri="urn:schemas-microsoft-com:office:smarttags" w:element="chmetcnv">
        <w:smartTagPr>
          <w:attr w:name="TCSC" w:val="0"/>
          <w:attr w:name="NumberType" w:val="1"/>
          <w:attr w:name="Negative" w:val="False"/>
          <w:attr w:name="HasSpace" w:val="False"/>
          <w:attr w:name="SourceValue" w:val="58.4"/>
          <w:attr w:name="UnitName" w:val="℃"/>
        </w:smartTagPr>
        <w:r w:rsidRPr="005B4D1E">
          <w:rPr>
            <w:rFonts w:ascii="宋体" w:eastAsia="宋体" w:hAnsi="宋体" w:hint="eastAsia"/>
            <w:sz w:val="21"/>
            <w:szCs w:val="21"/>
          </w:rPr>
          <w:t>58.4</w:t>
        </w:r>
        <w:r w:rsidRPr="005B4D1E">
          <w:rPr>
            <w:rFonts w:ascii="宋体" w:eastAsia="宋体" w:hAnsi="宋体" w:cs="Arial"/>
            <w:sz w:val="21"/>
            <w:szCs w:val="21"/>
          </w:rPr>
          <w:t>℃</w:t>
        </w:r>
      </w:smartTag>
      <w:r w:rsidRPr="005B4D1E">
        <w:rPr>
          <w:rFonts w:ascii="宋体" w:eastAsia="宋体" w:hAnsi="宋体" w:cs="Arial" w:hint="eastAsia"/>
          <w:sz w:val="21"/>
          <w:szCs w:val="21"/>
        </w:rPr>
        <w:t>；</w:t>
      </w:r>
      <w:r w:rsidRPr="005B4D1E">
        <w:rPr>
          <w:rFonts w:ascii="宋体" w:eastAsia="宋体" w:hAnsi="宋体" w:hint="eastAsia"/>
          <w:sz w:val="21"/>
          <w:szCs w:val="21"/>
        </w:rPr>
        <w:t>5：</w:t>
      </w:r>
      <w:smartTag w:uri="urn:schemas-microsoft-com:office:smarttags" w:element="chmetcnv">
        <w:smartTagPr>
          <w:attr w:name="TCSC" w:val="0"/>
          <w:attr w:name="NumberType" w:val="1"/>
          <w:attr w:name="Negative" w:val="False"/>
          <w:attr w:name="HasSpace" w:val="False"/>
          <w:attr w:name="SourceValue" w:val="58.9"/>
          <w:attr w:name="UnitName" w:val="℃"/>
        </w:smartTagPr>
        <w:r w:rsidRPr="005B4D1E">
          <w:rPr>
            <w:rFonts w:ascii="宋体" w:eastAsia="宋体" w:hAnsi="宋体" w:hint="eastAsia"/>
            <w:sz w:val="21"/>
            <w:szCs w:val="21"/>
          </w:rPr>
          <w:t>58.9℃</w:t>
        </w:r>
      </w:smartTag>
      <w:r w:rsidRPr="005B4D1E">
        <w:rPr>
          <w:rFonts w:ascii="宋体" w:eastAsia="宋体" w:hAnsi="宋体" w:hint="eastAsia"/>
          <w:sz w:val="21"/>
          <w:szCs w:val="21"/>
        </w:rPr>
        <w:t>；6：</w:t>
      </w:r>
      <w:smartTag w:uri="urn:schemas-microsoft-com:office:smarttags" w:element="chmetcnv">
        <w:smartTagPr>
          <w:attr w:name="TCSC" w:val="0"/>
          <w:attr w:name="NumberType" w:val="1"/>
          <w:attr w:name="Negative" w:val="False"/>
          <w:attr w:name="HasSpace" w:val="False"/>
          <w:attr w:name="SourceValue" w:val="60"/>
          <w:attr w:name="UnitName" w:val="℃"/>
        </w:smartTagPr>
        <w:r w:rsidRPr="005B4D1E">
          <w:rPr>
            <w:rFonts w:ascii="宋体" w:eastAsia="宋体" w:hAnsi="宋体" w:hint="eastAsia"/>
            <w:sz w:val="21"/>
            <w:szCs w:val="21"/>
          </w:rPr>
          <w:t>60℃</w:t>
        </w:r>
      </w:smartTag>
      <w:r w:rsidRPr="005B4D1E">
        <w:rPr>
          <w:rFonts w:ascii="宋体" w:eastAsia="宋体" w:hAnsi="宋体" w:hint="eastAsia"/>
          <w:sz w:val="21"/>
          <w:szCs w:val="21"/>
        </w:rPr>
        <w:t>；7：阴性对照</w:t>
      </w:r>
    </w:p>
    <w:p w:rsidR="009D14A5" w:rsidRPr="005B4D1E" w:rsidRDefault="009D14A5" w:rsidP="003B0360">
      <w:pPr>
        <w:pStyle w:val="a5"/>
        <w:spacing w:after="156"/>
      </w:pPr>
      <w:bookmarkStart w:id="16" w:name="_Toc405816313"/>
      <w:r w:rsidRPr="005B4D1E">
        <w:rPr>
          <w:rFonts w:hint="eastAsia"/>
        </w:rPr>
        <w:t>图</w:t>
      </w:r>
      <w:r w:rsidR="003B0360">
        <w:rPr>
          <w:rFonts w:hint="eastAsia"/>
        </w:rPr>
        <w:t xml:space="preserve">9 </w:t>
      </w:r>
      <w:r w:rsidRPr="005B4D1E">
        <w:rPr>
          <w:rFonts w:hint="eastAsia"/>
        </w:rPr>
        <w:t>退火温度的选择</w:t>
      </w:r>
      <w:bookmarkEnd w:id="16"/>
    </w:p>
    <w:p w:rsidR="009D14A5" w:rsidRPr="005B4D1E" w:rsidRDefault="009D14A5" w:rsidP="005B4D1E">
      <w:pPr>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多重PCR引物浓度的确定：</w:t>
      </w:r>
      <w:r w:rsidRPr="005B4D1E">
        <w:rPr>
          <w:rFonts w:ascii="宋体" w:eastAsia="宋体" w:hAnsi="宋体" w:hint="eastAsia"/>
          <w:sz w:val="21"/>
          <w:szCs w:val="21"/>
        </w:rPr>
        <w:t>50</w:t>
      </w:r>
      <w:r w:rsidRPr="005B4D1E">
        <w:rPr>
          <w:rFonts w:ascii="宋体" w:eastAsia="宋体" w:hAnsi="宋体"/>
          <w:sz w:val="21"/>
          <w:szCs w:val="21"/>
        </w:rPr>
        <w:t>µ</w:t>
      </w:r>
      <w:r w:rsidRPr="005B4D1E">
        <w:rPr>
          <w:rFonts w:ascii="宋体" w:eastAsia="宋体" w:hAnsi="宋体" w:hint="eastAsia"/>
          <w:sz w:val="21"/>
          <w:szCs w:val="21"/>
        </w:rPr>
        <w:t>L PCR反应体系中，3对引物CSF-NS2、AM-Nsp2及EU-ORF5终浓度分别为0.5、0.75、1.0、1.25、1.5pmol/</w:t>
      </w:r>
      <w:r w:rsidRPr="005B4D1E">
        <w:rPr>
          <w:rFonts w:ascii="宋体" w:eastAsia="宋体" w:hAnsi="宋体"/>
          <w:sz w:val="21"/>
          <w:szCs w:val="21"/>
        </w:rPr>
        <w:t>µ</w:t>
      </w:r>
      <w:r w:rsidRPr="005B4D1E">
        <w:rPr>
          <w:rFonts w:ascii="宋体" w:eastAsia="宋体" w:hAnsi="宋体" w:hint="eastAsia"/>
          <w:sz w:val="21"/>
          <w:szCs w:val="21"/>
        </w:rPr>
        <w:t>L，进行不同浓度的排列组合，进行PCR，确定最佳引物浓度。最终确定各对引物的最佳浓度（反应终浓度）：CSF-NS2为0.5pmol/</w:t>
      </w:r>
      <w:r w:rsidRPr="005B4D1E">
        <w:rPr>
          <w:rFonts w:ascii="宋体" w:eastAsia="宋体" w:hAnsi="宋体"/>
          <w:sz w:val="21"/>
          <w:szCs w:val="21"/>
        </w:rPr>
        <w:t>µ</w:t>
      </w:r>
      <w:r w:rsidRPr="005B4D1E">
        <w:rPr>
          <w:rFonts w:ascii="宋体" w:eastAsia="宋体" w:hAnsi="宋体" w:hint="eastAsia"/>
          <w:sz w:val="21"/>
          <w:szCs w:val="21"/>
        </w:rPr>
        <w:t>L、AM-Nsp2为1.25pmol/</w:t>
      </w:r>
      <w:r w:rsidRPr="005B4D1E">
        <w:rPr>
          <w:rFonts w:ascii="宋体" w:eastAsia="宋体" w:hAnsi="宋体"/>
          <w:sz w:val="21"/>
          <w:szCs w:val="21"/>
        </w:rPr>
        <w:t>µ</w:t>
      </w:r>
      <w:r w:rsidRPr="005B4D1E">
        <w:rPr>
          <w:rFonts w:ascii="宋体" w:eastAsia="宋体" w:hAnsi="宋体" w:hint="eastAsia"/>
          <w:sz w:val="21"/>
          <w:szCs w:val="21"/>
        </w:rPr>
        <w:t>L、EU-ORF5为0.5pmol/</w:t>
      </w:r>
      <w:r w:rsidRPr="005B4D1E">
        <w:rPr>
          <w:rFonts w:ascii="宋体" w:eastAsia="宋体" w:hAnsi="宋体"/>
          <w:sz w:val="21"/>
          <w:szCs w:val="21"/>
        </w:rPr>
        <w:t>µ</w:t>
      </w:r>
      <w:r w:rsidRPr="005B4D1E">
        <w:rPr>
          <w:rFonts w:ascii="宋体" w:eastAsia="宋体" w:hAnsi="宋体" w:hint="eastAsia"/>
          <w:sz w:val="21"/>
          <w:szCs w:val="21"/>
        </w:rPr>
        <w:t>L。部分结果见图10。</w:t>
      </w:r>
    </w:p>
    <w:p w:rsidR="009D14A5" w:rsidRPr="005B4D1E" w:rsidRDefault="009D14A5" w:rsidP="009D14A5">
      <w:pPr>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3286760" cy="1794510"/>
            <wp:effectExtent l="19050" t="0" r="889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22" cstate="print"/>
                    <a:srcRect/>
                    <a:stretch>
                      <a:fillRect/>
                    </a:stretch>
                  </pic:blipFill>
                  <pic:spPr bwMode="auto">
                    <a:xfrm>
                      <a:off x="0" y="0"/>
                      <a:ext cx="3286760" cy="1794510"/>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M：DNA标准DL1500；1-5：引物AM-Nsp2和EU-ORF5浓度分别固定为1.25pmol/</w:t>
      </w:r>
      <w:r w:rsidRPr="005B4D1E">
        <w:rPr>
          <w:rFonts w:ascii="宋体" w:eastAsia="宋体" w:hAnsi="宋体"/>
          <w:sz w:val="21"/>
          <w:szCs w:val="21"/>
        </w:rPr>
        <w:t>µ</w:t>
      </w:r>
      <w:r w:rsidRPr="005B4D1E">
        <w:rPr>
          <w:rFonts w:ascii="宋体" w:eastAsia="宋体" w:hAnsi="宋体" w:hint="eastAsia"/>
          <w:sz w:val="21"/>
          <w:szCs w:val="21"/>
        </w:rPr>
        <w:t>L和0.5pmol/</w:t>
      </w:r>
      <w:r w:rsidRPr="005B4D1E">
        <w:rPr>
          <w:rFonts w:ascii="宋体" w:eastAsia="宋体" w:hAnsi="宋体"/>
          <w:sz w:val="21"/>
          <w:szCs w:val="21"/>
        </w:rPr>
        <w:t>µ</w:t>
      </w:r>
      <w:r w:rsidRPr="005B4D1E">
        <w:rPr>
          <w:rFonts w:ascii="宋体" w:eastAsia="宋体" w:hAnsi="宋体" w:hint="eastAsia"/>
          <w:sz w:val="21"/>
          <w:szCs w:val="21"/>
        </w:rPr>
        <w:t>L，引物CSF-NS2浓度分别为0.5、0.75、1.0、1.25和1.5pmol/</w:t>
      </w:r>
      <w:r w:rsidRPr="005B4D1E">
        <w:rPr>
          <w:rFonts w:ascii="宋体" w:eastAsia="宋体" w:hAnsi="宋体"/>
          <w:sz w:val="21"/>
          <w:szCs w:val="21"/>
        </w:rPr>
        <w:t>µ</w:t>
      </w:r>
      <w:r w:rsidRPr="005B4D1E">
        <w:rPr>
          <w:rFonts w:ascii="宋体" w:eastAsia="宋体" w:hAnsi="宋体" w:hint="eastAsia"/>
          <w:sz w:val="21"/>
          <w:szCs w:val="21"/>
        </w:rPr>
        <w:t>L；6：阴性对照</w:t>
      </w:r>
    </w:p>
    <w:p w:rsidR="009D14A5" w:rsidRPr="005B4D1E" w:rsidRDefault="009D14A5" w:rsidP="003B0360">
      <w:pPr>
        <w:pStyle w:val="a5"/>
        <w:spacing w:after="156"/>
      </w:pPr>
      <w:bookmarkStart w:id="17" w:name="_Toc405816314"/>
      <w:r w:rsidRPr="005B4D1E">
        <w:rPr>
          <w:rFonts w:hint="eastAsia"/>
        </w:rPr>
        <w:t>图</w:t>
      </w:r>
      <w:r w:rsidR="003B0360">
        <w:rPr>
          <w:rFonts w:hint="eastAsia"/>
        </w:rPr>
        <w:t xml:space="preserve">10 </w:t>
      </w:r>
      <w:r w:rsidRPr="005B4D1E">
        <w:rPr>
          <w:rFonts w:hint="eastAsia"/>
        </w:rPr>
        <w:t>引物浓度的选择</w:t>
      </w:r>
      <w:bookmarkEnd w:id="17"/>
    </w:p>
    <w:p w:rsidR="009D14A5" w:rsidRPr="005B4D1E" w:rsidRDefault="009D14A5" w:rsidP="005B4D1E">
      <w:pPr>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多重PCR聚合酶浓度的确定：</w:t>
      </w:r>
      <w:r w:rsidRPr="005B4D1E">
        <w:rPr>
          <w:rFonts w:ascii="宋体" w:eastAsia="宋体" w:hAnsi="宋体" w:hint="eastAsia"/>
          <w:sz w:val="21"/>
          <w:szCs w:val="21"/>
        </w:rPr>
        <w:t>建立50</w:t>
      </w:r>
      <w:r w:rsidRPr="005B4D1E">
        <w:rPr>
          <w:rFonts w:ascii="宋体" w:eastAsia="宋体" w:hAnsi="宋体"/>
          <w:sz w:val="21"/>
          <w:szCs w:val="21"/>
        </w:rPr>
        <w:t>µ</w:t>
      </w:r>
      <w:r w:rsidRPr="005B4D1E">
        <w:rPr>
          <w:rFonts w:ascii="宋体" w:eastAsia="宋体" w:hAnsi="宋体" w:hint="eastAsia"/>
          <w:sz w:val="21"/>
          <w:szCs w:val="21"/>
        </w:rPr>
        <w:t>L反应体系，固定其它条件不变，Ex Taq HS聚合酶(5U/</w:t>
      </w:r>
      <w:r w:rsidRPr="005B4D1E">
        <w:rPr>
          <w:rFonts w:ascii="宋体" w:eastAsia="宋体" w:hAnsi="宋体"/>
          <w:sz w:val="21"/>
          <w:szCs w:val="21"/>
        </w:rPr>
        <w:t>µ</w:t>
      </w:r>
      <w:r w:rsidRPr="005B4D1E">
        <w:rPr>
          <w:rFonts w:ascii="宋体" w:eastAsia="宋体" w:hAnsi="宋体" w:hint="eastAsia"/>
          <w:sz w:val="21"/>
          <w:szCs w:val="21"/>
        </w:rPr>
        <w:t>L)终浓度分别为0.015、0.02、0.025、0.03、0.035U/</w:t>
      </w:r>
      <w:r w:rsidRPr="005B4D1E">
        <w:rPr>
          <w:rFonts w:ascii="宋体" w:eastAsia="宋体" w:hAnsi="宋体"/>
          <w:sz w:val="21"/>
          <w:szCs w:val="21"/>
        </w:rPr>
        <w:t>µ</w:t>
      </w:r>
      <w:r w:rsidRPr="005B4D1E">
        <w:rPr>
          <w:rFonts w:ascii="宋体" w:eastAsia="宋体" w:hAnsi="宋体" w:hint="eastAsia"/>
          <w:sz w:val="21"/>
          <w:szCs w:val="21"/>
        </w:rPr>
        <w:t>L，进行PCR，最终确定最佳聚合酶浓度为0.03U/</w:t>
      </w:r>
      <w:r w:rsidRPr="005B4D1E">
        <w:rPr>
          <w:rFonts w:ascii="宋体" w:eastAsia="宋体" w:hAnsi="宋体"/>
          <w:sz w:val="21"/>
          <w:szCs w:val="21"/>
        </w:rPr>
        <w:t>µ</w:t>
      </w:r>
      <w:r w:rsidRPr="005B4D1E">
        <w:rPr>
          <w:rFonts w:ascii="宋体" w:eastAsia="宋体" w:hAnsi="宋体" w:hint="eastAsia"/>
          <w:sz w:val="21"/>
          <w:szCs w:val="21"/>
        </w:rPr>
        <w:t>L（见图11）。</w:t>
      </w:r>
    </w:p>
    <w:p w:rsidR="009D14A5" w:rsidRPr="005B4D1E" w:rsidRDefault="009D14A5" w:rsidP="009D14A5">
      <w:pPr>
        <w:spacing w:line="360" w:lineRule="auto"/>
        <w:jc w:val="center"/>
        <w:rPr>
          <w:rFonts w:ascii="宋体" w:eastAsia="宋体" w:hAnsi="宋体"/>
          <w:sz w:val="21"/>
          <w:szCs w:val="21"/>
        </w:rPr>
      </w:pPr>
      <w:r w:rsidRPr="005B4D1E">
        <w:rPr>
          <w:rFonts w:ascii="宋体" w:eastAsia="宋体" w:hAnsi="宋体"/>
          <w:noProof/>
          <w:sz w:val="21"/>
          <w:szCs w:val="21"/>
        </w:rPr>
        <w:lastRenderedPageBreak/>
        <w:drawing>
          <wp:inline distT="0" distB="0" distL="0" distR="0">
            <wp:extent cx="3502025" cy="1664970"/>
            <wp:effectExtent l="19050" t="0" r="317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23" cstate="print"/>
                    <a:srcRect/>
                    <a:stretch>
                      <a:fillRect/>
                    </a:stretch>
                  </pic:blipFill>
                  <pic:spPr bwMode="auto">
                    <a:xfrm>
                      <a:off x="0" y="0"/>
                      <a:ext cx="3502025" cy="1664970"/>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M：DNA标准DL1500；1-5：Taq聚合酶浓度分别为0.035、0.03、0.025、0.02、0.015U／</w:t>
      </w:r>
      <w:r w:rsidRPr="005B4D1E">
        <w:rPr>
          <w:rFonts w:ascii="宋体" w:eastAsia="宋体" w:hAnsi="宋体"/>
          <w:sz w:val="21"/>
          <w:szCs w:val="21"/>
        </w:rPr>
        <w:t>µ</w:t>
      </w:r>
      <w:r w:rsidRPr="005B4D1E">
        <w:rPr>
          <w:rFonts w:ascii="宋体" w:eastAsia="宋体" w:hAnsi="宋体" w:hint="eastAsia"/>
          <w:sz w:val="21"/>
          <w:szCs w:val="21"/>
        </w:rPr>
        <w:t>L；6：阴性对照</w:t>
      </w:r>
    </w:p>
    <w:p w:rsidR="009D14A5" w:rsidRPr="005B4D1E" w:rsidRDefault="009D14A5" w:rsidP="003B0360">
      <w:pPr>
        <w:pStyle w:val="a5"/>
        <w:spacing w:after="156"/>
      </w:pPr>
      <w:bookmarkStart w:id="18" w:name="_Toc405816315"/>
      <w:r w:rsidRPr="005B4D1E">
        <w:rPr>
          <w:rFonts w:hint="eastAsia"/>
        </w:rPr>
        <w:t>图</w:t>
      </w:r>
      <w:r w:rsidR="003B0360">
        <w:rPr>
          <w:rFonts w:hint="eastAsia"/>
        </w:rPr>
        <w:t xml:space="preserve">11 </w:t>
      </w:r>
      <w:r w:rsidRPr="005B4D1E">
        <w:rPr>
          <w:rFonts w:hint="eastAsia"/>
        </w:rPr>
        <w:t>聚合酶浓度的选择</w:t>
      </w:r>
      <w:bookmarkEnd w:id="18"/>
    </w:p>
    <w:p w:rsidR="009D14A5" w:rsidRPr="005B4D1E" w:rsidRDefault="009D14A5" w:rsidP="005B4D1E">
      <w:pPr>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多重PCR循环数的确定：</w:t>
      </w:r>
      <w:r w:rsidRPr="005B4D1E">
        <w:rPr>
          <w:rFonts w:ascii="宋体" w:eastAsia="宋体" w:hAnsi="宋体" w:hint="eastAsia"/>
          <w:sz w:val="21"/>
          <w:szCs w:val="21"/>
        </w:rPr>
        <w:t>建立50</w:t>
      </w:r>
      <w:r w:rsidRPr="005B4D1E">
        <w:rPr>
          <w:rFonts w:ascii="宋体" w:eastAsia="宋体" w:hAnsi="宋体"/>
          <w:sz w:val="21"/>
          <w:szCs w:val="21"/>
        </w:rPr>
        <w:t>µ</w:t>
      </w:r>
      <w:r w:rsidRPr="005B4D1E">
        <w:rPr>
          <w:rFonts w:ascii="宋体" w:eastAsia="宋体" w:hAnsi="宋体" w:hint="eastAsia"/>
          <w:sz w:val="21"/>
          <w:szCs w:val="21"/>
        </w:rPr>
        <w:t>L PCR反应体系，固定其它条件不变，分别设置30、35、40、45个循环，进行PCR。最终确定最佳循环数为40个（见图12）。</w:t>
      </w:r>
    </w:p>
    <w:p w:rsidR="009D14A5" w:rsidRPr="005B4D1E" w:rsidRDefault="009D14A5" w:rsidP="009D14A5">
      <w:pPr>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2880995" cy="1630680"/>
            <wp:effectExtent l="1905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24" cstate="print"/>
                    <a:srcRect/>
                    <a:stretch>
                      <a:fillRect/>
                    </a:stretch>
                  </pic:blipFill>
                  <pic:spPr bwMode="auto">
                    <a:xfrm>
                      <a:off x="0" y="0"/>
                      <a:ext cx="2880995" cy="1630680"/>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M：DNA标准DL1500；1-4：PCR循环数分别为30、35、40、45个；5：阴性对照</w:t>
      </w:r>
    </w:p>
    <w:p w:rsidR="009D14A5" w:rsidRPr="005B4D1E" w:rsidRDefault="009D14A5" w:rsidP="003B0360">
      <w:pPr>
        <w:pStyle w:val="a5"/>
        <w:spacing w:after="156"/>
      </w:pPr>
      <w:bookmarkStart w:id="19" w:name="_Toc405816316"/>
      <w:r w:rsidRPr="005B4D1E">
        <w:rPr>
          <w:rFonts w:hint="eastAsia"/>
        </w:rPr>
        <w:t>图</w:t>
      </w:r>
      <w:r w:rsidR="003B0360">
        <w:rPr>
          <w:rFonts w:hint="eastAsia"/>
        </w:rPr>
        <w:t xml:space="preserve">12 </w:t>
      </w:r>
      <w:r w:rsidRPr="005B4D1E">
        <w:rPr>
          <w:rFonts w:hint="eastAsia"/>
        </w:rPr>
        <w:t>循环数的选择</w:t>
      </w:r>
      <w:bookmarkEnd w:id="19"/>
    </w:p>
    <w:p w:rsidR="009D14A5" w:rsidRPr="005B4D1E" w:rsidRDefault="009D14A5" w:rsidP="009D14A5">
      <w:pPr>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最佳反应条件的确定：</w:t>
      </w:r>
      <w:r w:rsidRPr="005B4D1E">
        <w:rPr>
          <w:rFonts w:ascii="宋体" w:eastAsia="宋体" w:hAnsi="宋体" w:hint="eastAsia"/>
          <w:sz w:val="21"/>
          <w:szCs w:val="21"/>
        </w:rPr>
        <w:t>经优化，多重RT-PCR包括反转录和PCR扩增两步程序。10</w:t>
      </w:r>
      <w:r w:rsidRPr="005B4D1E">
        <w:rPr>
          <w:rFonts w:ascii="宋体" w:eastAsia="宋体" w:hAnsi="宋体"/>
          <w:sz w:val="21"/>
          <w:szCs w:val="21"/>
        </w:rPr>
        <w:t>µ</w:t>
      </w:r>
      <w:r w:rsidRPr="005B4D1E">
        <w:rPr>
          <w:rFonts w:ascii="宋体" w:eastAsia="宋体" w:hAnsi="宋体" w:hint="eastAsia"/>
          <w:sz w:val="21"/>
          <w:szCs w:val="21"/>
        </w:rPr>
        <w:t>L反转录体系为：无RNA酶灭菌双蒸水0.75</w:t>
      </w:r>
      <w:r w:rsidRPr="005B4D1E">
        <w:rPr>
          <w:rFonts w:ascii="宋体" w:eastAsia="宋体" w:hAnsi="宋体"/>
          <w:sz w:val="21"/>
          <w:szCs w:val="21"/>
        </w:rPr>
        <w:t>µ</w:t>
      </w:r>
      <w:r w:rsidRPr="005B4D1E">
        <w:rPr>
          <w:rFonts w:ascii="宋体" w:eastAsia="宋体" w:hAnsi="宋体" w:hint="eastAsia"/>
          <w:sz w:val="21"/>
          <w:szCs w:val="21"/>
        </w:rPr>
        <w:t>L,10</w:t>
      </w:r>
      <w:r w:rsidRPr="005B4D1E">
        <w:rPr>
          <w:rFonts w:ascii="宋体" w:eastAsia="宋体" w:hAnsi="宋体" w:cs="Arial"/>
          <w:sz w:val="21"/>
          <w:szCs w:val="21"/>
        </w:rPr>
        <w:t>×</w:t>
      </w:r>
      <w:r w:rsidRPr="005B4D1E">
        <w:rPr>
          <w:rFonts w:ascii="宋体" w:eastAsia="宋体" w:hAnsi="宋体" w:hint="eastAsia"/>
          <w:sz w:val="21"/>
          <w:szCs w:val="21"/>
        </w:rPr>
        <w:t>RT buffer[100mmol/L Tris-HC1(pH8.3),500mmol/L KC1]1.0</w:t>
      </w:r>
      <w:r w:rsidRPr="005B4D1E">
        <w:rPr>
          <w:rFonts w:ascii="宋体" w:eastAsia="宋体" w:hAnsi="宋体"/>
          <w:sz w:val="21"/>
          <w:szCs w:val="21"/>
        </w:rPr>
        <w:t>µ</w:t>
      </w:r>
      <w:r w:rsidRPr="005B4D1E">
        <w:rPr>
          <w:rFonts w:ascii="宋体" w:eastAsia="宋体" w:hAnsi="宋体" w:hint="eastAsia"/>
          <w:sz w:val="21"/>
          <w:szCs w:val="21"/>
        </w:rPr>
        <w:t>L，MgCl</w:t>
      </w:r>
      <w:r w:rsidRPr="005B4D1E">
        <w:rPr>
          <w:rFonts w:ascii="宋体" w:eastAsia="宋体" w:hAnsi="宋体" w:hint="eastAsia"/>
          <w:sz w:val="21"/>
          <w:szCs w:val="21"/>
          <w:vertAlign w:val="subscript"/>
        </w:rPr>
        <w:t>2</w:t>
      </w:r>
      <w:r w:rsidRPr="005B4D1E">
        <w:rPr>
          <w:rFonts w:ascii="宋体" w:eastAsia="宋体" w:hAnsi="宋体" w:hint="eastAsia"/>
          <w:sz w:val="21"/>
          <w:szCs w:val="21"/>
        </w:rPr>
        <w:t>(25mmol/L)2.0</w:t>
      </w:r>
      <w:r w:rsidRPr="005B4D1E">
        <w:rPr>
          <w:rFonts w:ascii="宋体" w:eastAsia="宋体" w:hAnsi="宋体"/>
          <w:sz w:val="21"/>
          <w:szCs w:val="21"/>
        </w:rPr>
        <w:t>µ</w:t>
      </w:r>
      <w:r w:rsidRPr="005B4D1E">
        <w:rPr>
          <w:rFonts w:ascii="宋体" w:eastAsia="宋体" w:hAnsi="宋体" w:hint="eastAsia"/>
          <w:sz w:val="21"/>
          <w:szCs w:val="21"/>
        </w:rPr>
        <w:t>L，dNTP(各10mmol/L)1.0</w:t>
      </w:r>
      <w:r w:rsidRPr="005B4D1E">
        <w:rPr>
          <w:rFonts w:ascii="宋体" w:eastAsia="宋体" w:hAnsi="宋体"/>
          <w:sz w:val="21"/>
          <w:szCs w:val="21"/>
        </w:rPr>
        <w:t>µ</w:t>
      </w:r>
      <w:r w:rsidRPr="005B4D1E">
        <w:rPr>
          <w:rFonts w:ascii="宋体" w:eastAsia="宋体" w:hAnsi="宋体" w:hint="eastAsia"/>
          <w:sz w:val="21"/>
          <w:szCs w:val="21"/>
        </w:rPr>
        <w:t>L，随机引物9聚体(50pmol/</w:t>
      </w:r>
      <w:r w:rsidRPr="005B4D1E">
        <w:rPr>
          <w:rFonts w:ascii="宋体" w:eastAsia="宋体" w:hAnsi="宋体"/>
          <w:sz w:val="21"/>
          <w:szCs w:val="21"/>
        </w:rPr>
        <w:t>µ</w:t>
      </w:r>
      <w:r w:rsidRPr="005B4D1E">
        <w:rPr>
          <w:rFonts w:ascii="宋体" w:eastAsia="宋体" w:hAnsi="宋体" w:hint="eastAsia"/>
          <w:sz w:val="21"/>
          <w:szCs w:val="21"/>
        </w:rPr>
        <w:t>L)0.5</w:t>
      </w:r>
      <w:r w:rsidRPr="005B4D1E">
        <w:rPr>
          <w:rFonts w:ascii="宋体" w:eastAsia="宋体" w:hAnsi="宋体"/>
          <w:sz w:val="21"/>
          <w:szCs w:val="21"/>
        </w:rPr>
        <w:t>µ</w:t>
      </w:r>
      <w:r w:rsidRPr="005B4D1E">
        <w:rPr>
          <w:rFonts w:ascii="宋体" w:eastAsia="宋体" w:hAnsi="宋体" w:hint="eastAsia"/>
          <w:sz w:val="21"/>
          <w:szCs w:val="21"/>
        </w:rPr>
        <w:t>L，RNA酶抑制剂(40U/</w:t>
      </w:r>
      <w:r w:rsidRPr="005B4D1E">
        <w:rPr>
          <w:rFonts w:ascii="宋体" w:eastAsia="宋体" w:hAnsi="宋体"/>
          <w:sz w:val="21"/>
          <w:szCs w:val="21"/>
        </w:rPr>
        <w:t>µ</w:t>
      </w:r>
      <w:r w:rsidRPr="005B4D1E">
        <w:rPr>
          <w:rFonts w:ascii="宋体" w:eastAsia="宋体" w:hAnsi="宋体" w:hint="eastAsia"/>
          <w:sz w:val="21"/>
          <w:szCs w:val="21"/>
        </w:rPr>
        <w:t>L)0.25</w:t>
      </w:r>
      <w:r w:rsidRPr="005B4D1E">
        <w:rPr>
          <w:rFonts w:ascii="宋体" w:eastAsia="宋体" w:hAnsi="宋体"/>
          <w:sz w:val="21"/>
          <w:szCs w:val="21"/>
        </w:rPr>
        <w:t>µ</w:t>
      </w:r>
      <w:r w:rsidRPr="005B4D1E">
        <w:rPr>
          <w:rFonts w:ascii="宋体" w:eastAsia="宋体" w:hAnsi="宋体" w:hint="eastAsia"/>
          <w:sz w:val="21"/>
          <w:szCs w:val="21"/>
        </w:rPr>
        <w:t>L，AMV反转录酶(5U/</w:t>
      </w:r>
      <w:r w:rsidRPr="005B4D1E">
        <w:rPr>
          <w:rFonts w:ascii="宋体" w:eastAsia="宋体" w:hAnsi="宋体"/>
          <w:sz w:val="21"/>
          <w:szCs w:val="21"/>
        </w:rPr>
        <w:t>µ</w:t>
      </w:r>
      <w:r w:rsidRPr="005B4D1E">
        <w:rPr>
          <w:rFonts w:ascii="宋体" w:eastAsia="宋体" w:hAnsi="宋体" w:hint="eastAsia"/>
          <w:sz w:val="21"/>
          <w:szCs w:val="21"/>
        </w:rPr>
        <w:t>L)0.5</w:t>
      </w:r>
      <w:r w:rsidRPr="005B4D1E">
        <w:rPr>
          <w:rFonts w:ascii="宋体" w:eastAsia="宋体" w:hAnsi="宋体"/>
          <w:sz w:val="21"/>
          <w:szCs w:val="21"/>
        </w:rPr>
        <w:t>µ</w:t>
      </w:r>
      <w:r w:rsidRPr="005B4D1E">
        <w:rPr>
          <w:rFonts w:ascii="宋体" w:eastAsia="宋体" w:hAnsi="宋体" w:hint="eastAsia"/>
          <w:sz w:val="21"/>
          <w:szCs w:val="21"/>
        </w:rPr>
        <w:t>L，模板总RNA4.0</w:t>
      </w:r>
      <w:r w:rsidRPr="005B4D1E">
        <w:rPr>
          <w:rFonts w:ascii="宋体" w:eastAsia="宋体" w:hAnsi="宋体"/>
          <w:sz w:val="21"/>
          <w:szCs w:val="21"/>
        </w:rPr>
        <w:t>µ</w:t>
      </w:r>
      <w:r w:rsidRPr="005B4D1E">
        <w:rPr>
          <w:rFonts w:ascii="宋体" w:eastAsia="宋体" w:hAnsi="宋体" w:hint="eastAsia"/>
          <w:sz w:val="21"/>
          <w:szCs w:val="21"/>
        </w:rPr>
        <w:t>L；反转录程序为：</w:t>
      </w:r>
      <w:smartTag w:uri="urn:schemas-microsoft-com:office:smarttags" w:element="chmetcnv">
        <w:smartTagPr>
          <w:attr w:name="TCSC" w:val="0"/>
          <w:attr w:name="NumberType" w:val="1"/>
          <w:attr w:name="Negative" w:val="False"/>
          <w:attr w:name="HasSpace" w:val="False"/>
          <w:attr w:name="SourceValue" w:val="30"/>
          <w:attr w:name="UnitName" w:val="℃"/>
        </w:smartTagPr>
        <w:r w:rsidRPr="005B4D1E">
          <w:rPr>
            <w:rFonts w:ascii="宋体" w:eastAsia="宋体" w:hAnsi="宋体" w:hint="eastAsia"/>
            <w:sz w:val="21"/>
            <w:szCs w:val="21"/>
          </w:rPr>
          <w:t>30℃</w:t>
        </w:r>
      </w:smartTag>
      <w:r w:rsidRPr="005B4D1E">
        <w:rPr>
          <w:rFonts w:ascii="宋体" w:eastAsia="宋体" w:hAnsi="宋体" w:hint="eastAsia"/>
          <w:sz w:val="21"/>
          <w:szCs w:val="21"/>
        </w:rPr>
        <w:t>10min，</w:t>
      </w:r>
      <w:smartTag w:uri="urn:schemas-microsoft-com:office:smarttags" w:element="chmetcnv">
        <w:smartTagPr>
          <w:attr w:name="TCSC" w:val="0"/>
          <w:attr w:name="NumberType" w:val="1"/>
          <w:attr w:name="Negative" w:val="False"/>
          <w:attr w:name="HasSpace" w:val="False"/>
          <w:attr w:name="SourceValue" w:val="42"/>
          <w:attr w:name="UnitName" w:val="℃"/>
        </w:smartTagPr>
        <w:r w:rsidRPr="005B4D1E">
          <w:rPr>
            <w:rFonts w:ascii="宋体" w:eastAsia="宋体" w:hAnsi="宋体" w:hint="eastAsia"/>
            <w:sz w:val="21"/>
            <w:szCs w:val="21"/>
          </w:rPr>
          <w:t>42℃</w:t>
        </w:r>
      </w:smartTag>
      <w:r w:rsidRPr="005B4D1E">
        <w:rPr>
          <w:rFonts w:ascii="宋体" w:eastAsia="宋体" w:hAnsi="宋体" w:hint="eastAsia"/>
          <w:sz w:val="21"/>
          <w:szCs w:val="21"/>
        </w:rPr>
        <w:t>30min，</w:t>
      </w:r>
      <w:smartTag w:uri="urn:schemas-microsoft-com:office:smarttags" w:element="chmetcnv">
        <w:smartTagPr>
          <w:attr w:name="TCSC" w:val="0"/>
          <w:attr w:name="NumberType" w:val="1"/>
          <w:attr w:name="Negative" w:val="False"/>
          <w:attr w:name="HasSpace" w:val="False"/>
          <w:attr w:name="SourceValue" w:val="99"/>
          <w:attr w:name="UnitName" w:val="℃"/>
        </w:smartTagPr>
        <w:r w:rsidRPr="005B4D1E">
          <w:rPr>
            <w:rFonts w:ascii="宋体" w:eastAsia="宋体" w:hAnsi="宋体" w:hint="eastAsia"/>
            <w:sz w:val="21"/>
            <w:szCs w:val="21"/>
          </w:rPr>
          <w:t>99℃</w:t>
        </w:r>
      </w:smartTag>
      <w:r w:rsidRPr="005B4D1E">
        <w:rPr>
          <w:rFonts w:ascii="宋体" w:eastAsia="宋体" w:hAnsi="宋体" w:hint="eastAsia"/>
          <w:sz w:val="21"/>
          <w:szCs w:val="21"/>
        </w:rPr>
        <w:t>5min。50</w:t>
      </w:r>
      <w:r w:rsidRPr="005B4D1E">
        <w:rPr>
          <w:rFonts w:ascii="宋体" w:eastAsia="宋体" w:hAnsi="宋体"/>
          <w:sz w:val="21"/>
          <w:szCs w:val="21"/>
        </w:rPr>
        <w:t>µ</w:t>
      </w:r>
      <w:r w:rsidRPr="005B4D1E">
        <w:rPr>
          <w:rFonts w:ascii="宋体" w:eastAsia="宋体" w:hAnsi="宋体" w:hint="eastAsia"/>
          <w:sz w:val="21"/>
          <w:szCs w:val="21"/>
        </w:rPr>
        <w:t>L PCR反应体系为：5×RT buffer 10</w:t>
      </w:r>
      <w:r w:rsidRPr="005B4D1E">
        <w:rPr>
          <w:rFonts w:ascii="宋体" w:eastAsia="宋体" w:hAnsi="宋体"/>
          <w:sz w:val="21"/>
          <w:szCs w:val="21"/>
        </w:rPr>
        <w:t>µ</w:t>
      </w:r>
      <w:r w:rsidRPr="005B4D1E">
        <w:rPr>
          <w:rFonts w:ascii="宋体" w:eastAsia="宋体" w:hAnsi="宋体" w:hint="eastAsia"/>
          <w:sz w:val="21"/>
          <w:szCs w:val="21"/>
        </w:rPr>
        <w:t>L，Ex Taq HS聚合酶(5U/</w:t>
      </w:r>
      <w:r w:rsidRPr="005B4D1E">
        <w:rPr>
          <w:rFonts w:ascii="宋体" w:eastAsia="宋体" w:hAnsi="宋体"/>
          <w:sz w:val="21"/>
          <w:szCs w:val="21"/>
        </w:rPr>
        <w:t>µ</w:t>
      </w:r>
      <w:r w:rsidRPr="005B4D1E">
        <w:rPr>
          <w:rFonts w:ascii="宋体" w:eastAsia="宋体" w:hAnsi="宋体" w:hint="eastAsia"/>
          <w:sz w:val="21"/>
          <w:szCs w:val="21"/>
        </w:rPr>
        <w:t>L)0.3</w:t>
      </w:r>
      <w:r w:rsidRPr="005B4D1E">
        <w:rPr>
          <w:rFonts w:ascii="宋体" w:eastAsia="宋体" w:hAnsi="宋体"/>
          <w:sz w:val="21"/>
          <w:szCs w:val="21"/>
        </w:rPr>
        <w:t>µ</w:t>
      </w:r>
      <w:r w:rsidRPr="005B4D1E">
        <w:rPr>
          <w:rFonts w:ascii="宋体" w:eastAsia="宋体" w:hAnsi="宋体" w:hint="eastAsia"/>
          <w:sz w:val="21"/>
          <w:szCs w:val="21"/>
        </w:rPr>
        <w:t>L，引物CSF-NS2(25pmol/</w:t>
      </w:r>
      <w:r w:rsidRPr="005B4D1E">
        <w:rPr>
          <w:rFonts w:ascii="宋体" w:eastAsia="宋体" w:hAnsi="宋体"/>
          <w:sz w:val="21"/>
          <w:szCs w:val="21"/>
        </w:rPr>
        <w:t>µ</w:t>
      </w:r>
      <w:r w:rsidRPr="005B4D1E">
        <w:rPr>
          <w:rFonts w:ascii="宋体" w:eastAsia="宋体" w:hAnsi="宋体" w:hint="eastAsia"/>
          <w:sz w:val="21"/>
          <w:szCs w:val="21"/>
        </w:rPr>
        <w:t>L)各1</w:t>
      </w:r>
      <w:r w:rsidRPr="005B4D1E">
        <w:rPr>
          <w:rFonts w:ascii="宋体" w:eastAsia="宋体" w:hAnsi="宋体"/>
          <w:sz w:val="21"/>
          <w:szCs w:val="21"/>
        </w:rPr>
        <w:t>µ</w:t>
      </w:r>
      <w:r w:rsidRPr="005B4D1E">
        <w:rPr>
          <w:rFonts w:ascii="宋体" w:eastAsia="宋体" w:hAnsi="宋体" w:hint="eastAsia"/>
          <w:sz w:val="21"/>
          <w:szCs w:val="21"/>
        </w:rPr>
        <w:t>L、引物AM-Nsp2(25pmol/</w:t>
      </w:r>
      <w:r w:rsidRPr="005B4D1E">
        <w:rPr>
          <w:rFonts w:ascii="宋体" w:eastAsia="宋体" w:hAnsi="宋体"/>
          <w:sz w:val="21"/>
          <w:szCs w:val="21"/>
        </w:rPr>
        <w:t>µ</w:t>
      </w:r>
      <w:r w:rsidRPr="005B4D1E">
        <w:rPr>
          <w:rFonts w:ascii="宋体" w:eastAsia="宋体" w:hAnsi="宋体" w:hint="eastAsia"/>
          <w:sz w:val="21"/>
          <w:szCs w:val="21"/>
        </w:rPr>
        <w:t>L)各2.5</w:t>
      </w:r>
      <w:r w:rsidRPr="005B4D1E">
        <w:rPr>
          <w:rFonts w:ascii="宋体" w:eastAsia="宋体" w:hAnsi="宋体"/>
          <w:sz w:val="21"/>
          <w:szCs w:val="21"/>
        </w:rPr>
        <w:t>µ</w:t>
      </w:r>
      <w:r w:rsidRPr="005B4D1E">
        <w:rPr>
          <w:rFonts w:ascii="宋体" w:eastAsia="宋体" w:hAnsi="宋体" w:hint="eastAsia"/>
          <w:sz w:val="21"/>
          <w:szCs w:val="21"/>
        </w:rPr>
        <w:t>L、引物EU-ORF5(25pmol/</w:t>
      </w:r>
      <w:r w:rsidRPr="005B4D1E">
        <w:rPr>
          <w:rFonts w:ascii="宋体" w:eastAsia="宋体" w:hAnsi="宋体"/>
          <w:sz w:val="21"/>
          <w:szCs w:val="21"/>
        </w:rPr>
        <w:t>µ</w:t>
      </w:r>
      <w:r w:rsidRPr="005B4D1E">
        <w:rPr>
          <w:rFonts w:ascii="宋体" w:eastAsia="宋体" w:hAnsi="宋体" w:hint="eastAsia"/>
          <w:sz w:val="21"/>
          <w:szCs w:val="21"/>
        </w:rPr>
        <w:t>L)各1</w:t>
      </w:r>
      <w:r w:rsidRPr="005B4D1E">
        <w:rPr>
          <w:rFonts w:ascii="宋体" w:eastAsia="宋体" w:hAnsi="宋体"/>
          <w:sz w:val="21"/>
          <w:szCs w:val="21"/>
        </w:rPr>
        <w:t>µ</w:t>
      </w:r>
      <w:r w:rsidRPr="005B4D1E">
        <w:rPr>
          <w:rFonts w:ascii="宋体" w:eastAsia="宋体" w:hAnsi="宋体" w:hint="eastAsia"/>
          <w:sz w:val="21"/>
          <w:szCs w:val="21"/>
        </w:rPr>
        <w:t>L，cDNA5</w:t>
      </w:r>
      <w:r w:rsidRPr="005B4D1E">
        <w:rPr>
          <w:rFonts w:ascii="宋体" w:eastAsia="宋体" w:hAnsi="宋体"/>
          <w:sz w:val="21"/>
          <w:szCs w:val="21"/>
        </w:rPr>
        <w:t>µ</w:t>
      </w:r>
      <w:r w:rsidRPr="005B4D1E">
        <w:rPr>
          <w:rFonts w:ascii="宋体" w:eastAsia="宋体" w:hAnsi="宋体" w:hint="eastAsia"/>
          <w:sz w:val="21"/>
          <w:szCs w:val="21"/>
        </w:rPr>
        <w:t>L，灭菌双蒸水补至50</w:t>
      </w:r>
      <w:r w:rsidRPr="005B4D1E">
        <w:rPr>
          <w:rFonts w:ascii="宋体" w:eastAsia="宋体" w:hAnsi="宋体"/>
          <w:sz w:val="21"/>
          <w:szCs w:val="21"/>
        </w:rPr>
        <w:t>µ</w:t>
      </w:r>
      <w:r w:rsidRPr="005B4D1E">
        <w:rPr>
          <w:rFonts w:ascii="宋体" w:eastAsia="宋体" w:hAnsi="宋体" w:hint="eastAsia"/>
          <w:sz w:val="21"/>
          <w:szCs w:val="21"/>
        </w:rPr>
        <w:t>L；反应程序为：</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smartTag>
      <w:r w:rsidRPr="005B4D1E">
        <w:rPr>
          <w:rFonts w:ascii="宋体" w:eastAsia="宋体" w:hAnsi="宋体" w:hint="eastAsia"/>
          <w:sz w:val="21"/>
          <w:szCs w:val="21"/>
        </w:rPr>
        <w:t>2min；</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smartTag>
      <w:r w:rsidRPr="005B4D1E">
        <w:rPr>
          <w:rFonts w:ascii="宋体" w:eastAsia="宋体" w:hAnsi="宋体" w:hint="eastAsia"/>
          <w:sz w:val="21"/>
          <w:szCs w:val="21"/>
        </w:rPr>
        <w:t>30s，</w:t>
      </w:r>
      <w:smartTag w:uri="urn:schemas-microsoft-com:office:smarttags" w:element="chmetcnv">
        <w:smartTagPr>
          <w:attr w:name="TCSC" w:val="0"/>
          <w:attr w:name="NumberType" w:val="1"/>
          <w:attr w:name="Negative" w:val="False"/>
          <w:attr w:name="HasSpace" w:val="False"/>
          <w:attr w:name="SourceValue" w:val="57.3"/>
          <w:attr w:name="UnitName" w:val="℃"/>
        </w:smartTagPr>
        <w:r w:rsidRPr="005B4D1E">
          <w:rPr>
            <w:rFonts w:ascii="宋体" w:eastAsia="宋体" w:hAnsi="宋体" w:hint="eastAsia"/>
            <w:sz w:val="21"/>
            <w:szCs w:val="21"/>
          </w:rPr>
          <w:t>57.3℃</w:t>
        </w:r>
      </w:smartTag>
      <w:r w:rsidRPr="005B4D1E">
        <w:rPr>
          <w:rFonts w:ascii="宋体" w:eastAsia="宋体" w:hAnsi="宋体" w:hint="eastAsia"/>
          <w:sz w:val="21"/>
          <w:szCs w:val="21"/>
        </w:rPr>
        <w:t>30s，</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r w:rsidRPr="005B4D1E">
          <w:rPr>
            <w:rFonts w:ascii="宋体" w:eastAsia="宋体" w:hAnsi="宋体" w:cs="Arial"/>
            <w:sz w:val="21"/>
            <w:szCs w:val="21"/>
          </w:rPr>
          <w:t>℃</w:t>
        </w:r>
      </w:smartTag>
      <w:r w:rsidRPr="005B4D1E">
        <w:rPr>
          <w:rFonts w:ascii="宋体" w:eastAsia="宋体" w:hAnsi="宋体" w:hint="eastAsia"/>
          <w:sz w:val="21"/>
          <w:szCs w:val="21"/>
        </w:rPr>
        <w:t>45s，40个循环；</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10min。</w:t>
      </w:r>
    </w:p>
    <w:p w:rsidR="009D14A5" w:rsidRPr="005B4D1E" w:rsidRDefault="009D14A5" w:rsidP="005B4D1E">
      <w:pPr>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多重PCR的特异性试验：</w:t>
      </w:r>
      <w:r w:rsidRPr="005B4D1E">
        <w:rPr>
          <w:rFonts w:ascii="宋体" w:eastAsia="宋体" w:hAnsi="宋体" w:hint="eastAsia"/>
          <w:sz w:val="21"/>
          <w:szCs w:val="21"/>
        </w:rPr>
        <w:t>以重组质粒p-CSF-NS2、p-Nsp2-VR2332、p-Nsp2-JXA1、p-EU-ORF5，以及FMDV的cDNA和PCV2、PRV、PPV的DNA作为模板，在优化后的反应条件下</w:t>
      </w:r>
      <w:r w:rsidRPr="005B4D1E">
        <w:rPr>
          <w:rFonts w:ascii="宋体" w:eastAsia="宋体" w:hAnsi="宋体" w:hint="eastAsia"/>
          <w:sz w:val="21"/>
          <w:szCs w:val="21"/>
        </w:rPr>
        <w:lastRenderedPageBreak/>
        <w:t>进行多重PCR。结果，只有4种重组质粒的不同排列组合反应呈阳性，而FMDV、PCV2、PRV、PPV均为阴性，没有交叉反应（见图13）。</w:t>
      </w:r>
    </w:p>
    <w:p w:rsidR="009D14A5" w:rsidRPr="005B4D1E" w:rsidRDefault="009D14A5" w:rsidP="005B4D1E">
      <w:pPr>
        <w:spacing w:line="360" w:lineRule="auto"/>
        <w:ind w:firstLineChars="200" w:firstLine="420"/>
        <w:jc w:val="center"/>
        <w:rPr>
          <w:rFonts w:ascii="宋体" w:eastAsia="宋体" w:hAnsi="宋体"/>
          <w:sz w:val="21"/>
          <w:szCs w:val="21"/>
        </w:rPr>
      </w:pPr>
      <w:r w:rsidRPr="005B4D1E">
        <w:rPr>
          <w:rFonts w:ascii="宋体" w:eastAsia="宋体" w:hAnsi="宋体"/>
          <w:noProof/>
          <w:sz w:val="21"/>
          <w:szCs w:val="21"/>
        </w:rPr>
        <w:drawing>
          <wp:inline distT="0" distB="0" distL="0" distR="0">
            <wp:extent cx="3416300" cy="1440815"/>
            <wp:effectExtent l="1905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5" cstate="print"/>
                    <a:srcRect/>
                    <a:stretch>
                      <a:fillRect/>
                    </a:stretch>
                  </pic:blipFill>
                  <pic:spPr bwMode="auto">
                    <a:xfrm>
                      <a:off x="0" y="0"/>
                      <a:ext cx="3416300" cy="1440815"/>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M：DNA标准DL1500；1：4种重组质粒混合物；2：p-EU-ORF5；3：p-CSF-NS2；4：p-Nsp2-VR2332；5：p-Nsp2-JXA1；6:PCV2；7：PRV；8；PPV；9：FMDV；10：p-EU-ORFla；11：p-AM-ORF5；12：阴性对照</w:t>
      </w:r>
    </w:p>
    <w:p w:rsidR="009D14A5" w:rsidRPr="005B4D1E" w:rsidRDefault="009D14A5" w:rsidP="003B0360">
      <w:pPr>
        <w:pStyle w:val="a5"/>
        <w:spacing w:after="156"/>
      </w:pPr>
      <w:bookmarkStart w:id="20" w:name="_Toc405816317"/>
      <w:r w:rsidRPr="005B4D1E">
        <w:rPr>
          <w:rFonts w:hint="eastAsia"/>
        </w:rPr>
        <w:t>图</w:t>
      </w:r>
      <w:r w:rsidR="003B0360">
        <w:rPr>
          <w:rFonts w:hint="eastAsia"/>
        </w:rPr>
        <w:t xml:space="preserve">13 </w:t>
      </w:r>
      <w:r w:rsidRPr="005B4D1E">
        <w:rPr>
          <w:rFonts w:hint="eastAsia"/>
        </w:rPr>
        <w:t>多重</w:t>
      </w:r>
      <w:r w:rsidRPr="005B4D1E">
        <w:rPr>
          <w:rFonts w:hint="eastAsia"/>
        </w:rPr>
        <w:t>PCR</w:t>
      </w:r>
      <w:r w:rsidRPr="005B4D1E">
        <w:rPr>
          <w:rFonts w:hint="eastAsia"/>
        </w:rPr>
        <w:t>的特异性试验</w:t>
      </w:r>
      <w:bookmarkEnd w:id="20"/>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多重PCR的敏感性试验：</w:t>
      </w:r>
      <w:r w:rsidRPr="005B4D1E">
        <w:rPr>
          <w:rFonts w:ascii="宋体" w:eastAsia="宋体" w:hAnsi="宋体" w:hint="eastAsia"/>
          <w:sz w:val="21"/>
          <w:szCs w:val="21"/>
        </w:rPr>
        <w:t>将4种重组质粒10倍系列稀释成1.67×10</w:t>
      </w:r>
      <w:r w:rsidRPr="005B4D1E">
        <w:rPr>
          <w:rFonts w:ascii="宋体" w:eastAsia="宋体" w:hAnsi="宋体" w:hint="eastAsia"/>
          <w:sz w:val="21"/>
          <w:szCs w:val="21"/>
          <w:vertAlign w:val="superscript"/>
        </w:rPr>
        <w:t>10</w:t>
      </w:r>
      <w:r w:rsidRPr="005B4D1E">
        <w:rPr>
          <w:rFonts w:ascii="宋体" w:eastAsia="宋体" w:hAnsi="宋体" w:hint="eastAsia"/>
          <w:sz w:val="21"/>
          <w:szCs w:val="21"/>
        </w:rPr>
        <w:t>～1.67×10</w:t>
      </w:r>
      <w:r w:rsidRPr="005B4D1E">
        <w:rPr>
          <w:rFonts w:ascii="宋体" w:eastAsia="宋体" w:hAnsi="宋体" w:hint="eastAsia"/>
          <w:sz w:val="21"/>
          <w:szCs w:val="21"/>
          <w:vertAlign w:val="superscript"/>
        </w:rPr>
        <w:t>1</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L（50</w:t>
      </w:r>
      <w:r w:rsidRPr="005B4D1E">
        <w:rPr>
          <w:rFonts w:ascii="宋体" w:eastAsia="宋体" w:hAnsi="宋体"/>
          <w:sz w:val="21"/>
          <w:szCs w:val="21"/>
        </w:rPr>
        <w:t>µ</w:t>
      </w:r>
      <w:r w:rsidRPr="005B4D1E">
        <w:rPr>
          <w:rFonts w:ascii="宋体" w:eastAsia="宋体" w:hAnsi="宋体" w:hint="eastAsia"/>
          <w:sz w:val="21"/>
          <w:szCs w:val="21"/>
        </w:rPr>
        <w:t>L反应体系终浓度为1.67×l0</w:t>
      </w:r>
      <w:r w:rsidRPr="005B4D1E">
        <w:rPr>
          <w:rFonts w:ascii="宋体" w:eastAsia="宋体" w:hAnsi="宋体" w:hint="eastAsia"/>
          <w:sz w:val="21"/>
          <w:szCs w:val="21"/>
          <w:vertAlign w:val="superscript"/>
        </w:rPr>
        <w:t>9</w:t>
      </w:r>
      <w:r w:rsidRPr="005B4D1E">
        <w:rPr>
          <w:rFonts w:ascii="宋体" w:eastAsia="宋体" w:hAnsi="宋体" w:hint="eastAsia"/>
          <w:sz w:val="21"/>
          <w:szCs w:val="21"/>
        </w:rPr>
        <w:t>～l.67×l0</w:t>
      </w:r>
      <w:r w:rsidRPr="005B4D1E">
        <w:rPr>
          <w:rFonts w:ascii="宋体" w:eastAsia="宋体" w:hAnsi="宋体" w:hint="eastAsia"/>
          <w:sz w:val="21"/>
          <w:szCs w:val="21"/>
          <w:vertAlign w:val="superscript"/>
        </w:rPr>
        <w:t>0</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L）共10个浓度梯度。将同一浓度梯度的各种质粒等体积混合后作为模板，在优化后的反应条件下进行多重PCR，分析其敏感性。结果，引物CSF-NS2以p-CSF-NS2为模板的检出下限为1.67×10</w:t>
      </w:r>
      <w:r w:rsidRPr="005B4D1E">
        <w:rPr>
          <w:rFonts w:ascii="宋体" w:eastAsia="宋体" w:hAnsi="宋体" w:hint="eastAsia"/>
          <w:sz w:val="21"/>
          <w:szCs w:val="21"/>
          <w:vertAlign w:val="superscript"/>
        </w:rPr>
        <w:t>3</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L;引物AM-Nsp2以质粒p-Nsp2-VR2332或p-Nsp2-JXA1为模板的检出下限均为1.67×10</w:t>
      </w:r>
      <w:r w:rsidRPr="005B4D1E">
        <w:rPr>
          <w:rFonts w:ascii="宋体" w:eastAsia="宋体" w:hAnsi="宋体" w:hint="eastAsia"/>
          <w:sz w:val="21"/>
          <w:szCs w:val="21"/>
          <w:vertAlign w:val="superscript"/>
        </w:rPr>
        <w:t>2</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L；引物EU-ORF5以质粒p-EU-ORF5为模板的检出下限为1.67</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3</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L（见图</w:t>
      </w:r>
      <w:smartTag w:uri="urn:schemas-microsoft-com:office:smarttags" w:element="chmetcnv">
        <w:smartTagPr>
          <w:attr w:name="TCSC" w:val="0"/>
          <w:attr w:name="NumberType" w:val="1"/>
          <w:attr w:name="Negative" w:val="False"/>
          <w:attr w:name="HasSpace" w:val="False"/>
          <w:attr w:name="SourceValue" w:val="14"/>
          <w:attr w:name="UnitName" w:val="a"/>
        </w:smartTagPr>
        <w:r w:rsidRPr="005B4D1E">
          <w:rPr>
            <w:rFonts w:ascii="宋体" w:eastAsia="宋体" w:hAnsi="宋体" w:hint="eastAsia"/>
            <w:sz w:val="21"/>
            <w:szCs w:val="21"/>
          </w:rPr>
          <w:t>14A</w:t>
        </w:r>
      </w:smartTag>
      <w:r w:rsidRPr="005B4D1E">
        <w:rPr>
          <w:rFonts w:ascii="宋体" w:eastAsia="宋体" w:hAnsi="宋体" w:hint="eastAsia"/>
          <w:sz w:val="21"/>
          <w:szCs w:val="21"/>
        </w:rPr>
        <w:t>）。而将10倍系列稀释的4种重组质粒等体积混合后作为模板进行多重PCR，结果3对引物的检出下限均为1.67</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3</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L（见图14B）。</w:t>
      </w:r>
    </w:p>
    <w:p w:rsidR="009D14A5" w:rsidRPr="005B4D1E" w:rsidRDefault="009D14A5" w:rsidP="009D14A5">
      <w:pPr>
        <w:spacing w:line="360" w:lineRule="auto"/>
        <w:jc w:val="center"/>
        <w:rPr>
          <w:rFonts w:ascii="宋体" w:eastAsia="宋体" w:hAnsi="宋体"/>
          <w:b/>
          <w:bCs/>
          <w:sz w:val="21"/>
          <w:szCs w:val="21"/>
        </w:rPr>
      </w:pPr>
      <w:r w:rsidRPr="005B4D1E">
        <w:rPr>
          <w:rFonts w:ascii="宋体" w:eastAsia="宋体" w:hAnsi="宋体"/>
          <w:noProof/>
          <w:sz w:val="21"/>
          <w:szCs w:val="21"/>
        </w:rPr>
        <w:lastRenderedPageBreak/>
        <w:drawing>
          <wp:inline distT="0" distB="0" distL="0" distR="0">
            <wp:extent cx="5270500" cy="3347085"/>
            <wp:effectExtent l="19050" t="0" r="6350" b="0"/>
            <wp:docPr id="1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26" cstate="print"/>
                    <a:srcRect/>
                    <a:stretch>
                      <a:fillRect/>
                    </a:stretch>
                  </pic:blipFill>
                  <pic:spPr bwMode="auto">
                    <a:xfrm>
                      <a:off x="0" y="0"/>
                      <a:ext cx="5270500" cy="3347085"/>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M：DNA标准DL1500；1-9：重组质粒浓度分别为1.67×l0</w:t>
      </w:r>
      <w:r w:rsidRPr="005B4D1E">
        <w:rPr>
          <w:rFonts w:ascii="宋体" w:eastAsia="宋体" w:hAnsi="宋体" w:hint="eastAsia"/>
          <w:sz w:val="21"/>
          <w:szCs w:val="21"/>
          <w:vertAlign w:val="superscript"/>
        </w:rPr>
        <w:t>9</w:t>
      </w:r>
      <w:r w:rsidRPr="005B4D1E">
        <w:rPr>
          <w:rFonts w:ascii="宋体" w:eastAsia="宋体" w:hAnsi="宋体" w:hint="eastAsia"/>
          <w:sz w:val="21"/>
          <w:szCs w:val="21"/>
        </w:rPr>
        <w:t>-1.67×10</w:t>
      </w:r>
      <w:r w:rsidRPr="005B4D1E">
        <w:rPr>
          <w:rFonts w:ascii="宋体" w:eastAsia="宋体" w:hAnsi="宋体" w:hint="eastAsia"/>
          <w:sz w:val="21"/>
          <w:szCs w:val="21"/>
          <w:vertAlign w:val="superscript"/>
        </w:rPr>
        <w:t>1</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L；10：阴性对照</w:t>
      </w:r>
    </w:p>
    <w:p w:rsidR="009D14A5" w:rsidRPr="005B4D1E" w:rsidRDefault="009D14A5" w:rsidP="003B0360">
      <w:pPr>
        <w:pStyle w:val="a5"/>
        <w:spacing w:after="156"/>
      </w:pPr>
      <w:bookmarkStart w:id="21" w:name="_Toc405816318"/>
      <w:r w:rsidRPr="005B4D1E">
        <w:rPr>
          <w:rFonts w:hint="eastAsia"/>
        </w:rPr>
        <w:t>图</w:t>
      </w:r>
      <w:r w:rsidR="003B0360">
        <w:rPr>
          <w:rFonts w:hint="eastAsia"/>
        </w:rPr>
        <w:t xml:space="preserve">14 </w:t>
      </w:r>
      <w:r w:rsidRPr="005B4D1E">
        <w:rPr>
          <w:rFonts w:hint="eastAsia"/>
        </w:rPr>
        <w:t>单重</w:t>
      </w:r>
      <w:r w:rsidRPr="005B4D1E">
        <w:rPr>
          <w:rFonts w:hint="eastAsia"/>
        </w:rPr>
        <w:t>PCR (A)</w:t>
      </w:r>
      <w:r w:rsidRPr="005B4D1E">
        <w:rPr>
          <w:rFonts w:hint="eastAsia"/>
        </w:rPr>
        <w:t>及多重</w:t>
      </w:r>
      <w:r w:rsidRPr="005B4D1E">
        <w:rPr>
          <w:rFonts w:hint="eastAsia"/>
        </w:rPr>
        <w:t>PCR (B)</w:t>
      </w:r>
      <w:r w:rsidRPr="005B4D1E">
        <w:rPr>
          <w:rFonts w:hint="eastAsia"/>
        </w:rPr>
        <w:t>的敏感性试验</w:t>
      </w:r>
      <w:bookmarkEnd w:id="21"/>
    </w:p>
    <w:p w:rsidR="009D14A5" w:rsidRPr="005B4D1E" w:rsidRDefault="009D14A5" w:rsidP="005B4D1E">
      <w:pPr>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多重PCR的重复性试验：</w:t>
      </w:r>
      <w:r w:rsidRPr="005B4D1E">
        <w:rPr>
          <w:rFonts w:ascii="宋体" w:eastAsia="宋体" w:hAnsi="宋体" w:hint="eastAsia"/>
          <w:sz w:val="21"/>
          <w:szCs w:val="21"/>
        </w:rPr>
        <w:t>以含有1.67</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8</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L重组质粒混合物为模板，在优化后的反应条件下进行多重PCR，重复5次反应。结果显示，5次重复试验均能扩增出均匀一致的目的片段（见图15），具有很好的重复性。</w:t>
      </w:r>
    </w:p>
    <w:p w:rsidR="009D14A5" w:rsidRPr="005B4D1E" w:rsidRDefault="009D14A5" w:rsidP="009D14A5">
      <w:pPr>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2907030" cy="1923415"/>
            <wp:effectExtent l="19050" t="0" r="7620" b="0"/>
            <wp:docPr id="1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7" cstate="print"/>
                    <a:srcRect/>
                    <a:stretch>
                      <a:fillRect/>
                    </a:stretch>
                  </pic:blipFill>
                  <pic:spPr bwMode="auto">
                    <a:xfrm>
                      <a:off x="0" y="0"/>
                      <a:ext cx="2907030" cy="1923415"/>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M：DNA标准DL1500；1-5：相同条件下的5次重复反应</w:t>
      </w:r>
    </w:p>
    <w:p w:rsidR="009D14A5" w:rsidRPr="005B4D1E" w:rsidRDefault="009D14A5" w:rsidP="003B0360">
      <w:pPr>
        <w:pStyle w:val="a5"/>
        <w:spacing w:after="156"/>
      </w:pPr>
      <w:bookmarkStart w:id="22" w:name="_Toc405816319"/>
      <w:r w:rsidRPr="005B4D1E">
        <w:rPr>
          <w:rFonts w:hint="eastAsia"/>
        </w:rPr>
        <w:t>图</w:t>
      </w:r>
      <w:r w:rsidR="003B0360">
        <w:rPr>
          <w:rFonts w:hint="eastAsia"/>
        </w:rPr>
        <w:t xml:space="preserve">15 </w:t>
      </w:r>
      <w:r w:rsidRPr="005B4D1E">
        <w:rPr>
          <w:rFonts w:hint="eastAsia"/>
        </w:rPr>
        <w:t>多重</w:t>
      </w:r>
      <w:r w:rsidRPr="005B4D1E">
        <w:rPr>
          <w:rFonts w:hint="eastAsia"/>
        </w:rPr>
        <w:t>PCR</w:t>
      </w:r>
      <w:r w:rsidRPr="005B4D1E">
        <w:rPr>
          <w:rFonts w:hint="eastAsia"/>
        </w:rPr>
        <w:t>的重复性试验</w:t>
      </w:r>
      <w:bookmarkEnd w:id="22"/>
    </w:p>
    <w:p w:rsidR="009D14A5" w:rsidRPr="005B4D1E" w:rsidRDefault="009D14A5" w:rsidP="009D14A5">
      <w:pPr>
        <w:spacing w:line="360" w:lineRule="auto"/>
        <w:rPr>
          <w:rFonts w:ascii="宋体" w:eastAsia="宋体" w:hAnsi="宋体"/>
          <w:sz w:val="21"/>
          <w:szCs w:val="21"/>
        </w:rPr>
      </w:pPr>
    </w:p>
    <w:p w:rsidR="009D14A5" w:rsidRPr="005B4D1E" w:rsidRDefault="009D14A5" w:rsidP="005B4D1E">
      <w:pPr>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lastRenderedPageBreak/>
        <w:t>多重PCR的临床应用：</w:t>
      </w:r>
      <w:r w:rsidRPr="005B4D1E">
        <w:rPr>
          <w:rFonts w:ascii="宋体" w:eastAsia="宋体" w:hAnsi="宋体" w:hint="eastAsia"/>
          <w:sz w:val="21"/>
          <w:szCs w:val="21"/>
        </w:rPr>
        <w:t>临床病料来自2010～2011年广西各地发病死亡的疑似病猪，共106份。取脾、肺、淋巴结各约</w:t>
      </w:r>
      <w:smartTag w:uri="urn:schemas-microsoft-com:office:smarttags" w:element="chmetcnv">
        <w:smartTagPr>
          <w:attr w:name="TCSC" w:val="0"/>
          <w:attr w:name="NumberType" w:val="1"/>
          <w:attr w:name="Negative" w:val="False"/>
          <w:attr w:name="HasSpace" w:val="False"/>
          <w:attr w:name="SourceValue" w:val="5"/>
          <w:attr w:name="UnitName" w:val="g"/>
        </w:smartTagPr>
        <w:r w:rsidRPr="005B4D1E">
          <w:rPr>
            <w:rFonts w:ascii="宋体" w:eastAsia="宋体" w:hAnsi="宋体" w:hint="eastAsia"/>
            <w:sz w:val="21"/>
            <w:szCs w:val="21"/>
          </w:rPr>
          <w:t>5g</w:t>
        </w:r>
      </w:smartTag>
      <w:r w:rsidRPr="005B4D1E">
        <w:rPr>
          <w:rFonts w:ascii="宋体" w:eastAsia="宋体" w:hAnsi="宋体" w:hint="eastAsia"/>
          <w:sz w:val="21"/>
          <w:szCs w:val="21"/>
        </w:rPr>
        <w:t>，混合研磨后按1：4(W/V)加入PBS(pH7.2)，反复冻融3次，10000r/min离心10min，取上清提取总RNA。应用所建立的多重RT-PCR方法，进行CSFV和PRRSV检测。结果，CSFV和PRRSV变异株混合阳性4份，占3.77%(4/106)；CSFV阳性7份，占6.60%(7/106)；PRRSV变异株阳性17份，占16.04%(17/106)。随机选取上述阳性样品各4份，回收PCR产物、克隆、测序，证实为CSFV或PRRSV。部分临床病料检测结果见图16。</w:t>
      </w:r>
    </w:p>
    <w:p w:rsidR="009D14A5" w:rsidRPr="005B4D1E" w:rsidRDefault="009D14A5" w:rsidP="009D14A5">
      <w:pPr>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3950970" cy="1759585"/>
            <wp:effectExtent l="19050" t="0" r="0" b="0"/>
            <wp:docPr id="1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8" cstate="print"/>
                    <a:srcRect/>
                    <a:stretch>
                      <a:fillRect/>
                    </a:stretch>
                  </pic:blipFill>
                  <pic:spPr bwMode="auto">
                    <a:xfrm>
                      <a:off x="0" y="0"/>
                      <a:ext cx="3950970" cy="1759585"/>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M：DNA标准DL1500；1：阳性对照；2-11：临床样品；12：阴性对照</w:t>
      </w:r>
    </w:p>
    <w:p w:rsidR="009D14A5" w:rsidRPr="005B4D1E" w:rsidRDefault="009D14A5" w:rsidP="003B0360">
      <w:pPr>
        <w:pStyle w:val="a5"/>
        <w:spacing w:after="156"/>
      </w:pPr>
      <w:bookmarkStart w:id="23" w:name="_Toc405816320"/>
      <w:r w:rsidRPr="005B4D1E">
        <w:rPr>
          <w:rFonts w:hint="eastAsia"/>
        </w:rPr>
        <w:t>图</w:t>
      </w:r>
      <w:r w:rsidR="003B0360">
        <w:rPr>
          <w:rFonts w:hint="eastAsia"/>
        </w:rPr>
        <w:t xml:space="preserve">16 </w:t>
      </w:r>
      <w:r w:rsidRPr="005B4D1E">
        <w:rPr>
          <w:rFonts w:hint="eastAsia"/>
        </w:rPr>
        <w:t>部分临床样品的检测结果</w:t>
      </w:r>
      <w:bookmarkEnd w:id="23"/>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小结：为建立能同时检测CSFV和PRRSV的方法，针对CSFV和PRRSV的基因序列设计3对特异性引物，第1对引物扩增CSFV毒株NS2基因508bp片段，第2对引物扩增PRRSV美洲型经典毒株和变异毒株Nsp2基因338bp/248bp片段，第3对引物扩增PRRSV欧洲型毒株ORF5基因614bp片段。经过反应条件的优化，建立了能同时检测并区分CSFV和PRRSV美洲型经典毒株、变异毒株及欧洲型毒株的多重RT-PCR方法。该方法可以特异扩增CSFV和PRRSV，而与FMDV、PRV、PPV、PCV2均无交叉反应；对CSFV和PRRSV4种重组质粒标准品的检出下限均为1.67</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3</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应用该方法对采集的106份临床病料进行检测，结果CSFV和PRRSV变异株混合阳性4份，占3.77%(4/106)；CSFV阳性7份，占6.60%(7/106)；PRRSV变异株阳性17份，占16.04%(17/106)。表明，所建立的多重RT-PCR检测方法可以用于CSFV和PRRSV的快速鉴别检测和流行病学调查。</w:t>
      </w:r>
    </w:p>
    <w:p w:rsidR="009D14A5" w:rsidRPr="005B4D1E" w:rsidRDefault="009D14A5" w:rsidP="005B4D1E">
      <w:pPr>
        <w:pStyle w:val="2"/>
      </w:pPr>
      <w:bookmarkStart w:id="24" w:name="_Toc405816269"/>
      <w:r w:rsidRPr="005B4D1E">
        <w:rPr>
          <w:rFonts w:hint="eastAsia"/>
        </w:rPr>
        <w:t>同时检测并区分美洲型及欧洲型</w:t>
      </w:r>
      <w:r w:rsidRPr="005B4D1E">
        <w:rPr>
          <w:rFonts w:hint="eastAsia"/>
        </w:rPr>
        <w:t>PRRSV</w:t>
      </w:r>
      <w:r w:rsidRPr="005B4D1E">
        <w:rPr>
          <w:rFonts w:hint="eastAsia"/>
        </w:rPr>
        <w:t>的多重荧光定量</w:t>
      </w:r>
      <w:r w:rsidRPr="005B4D1E">
        <w:rPr>
          <w:rFonts w:hint="eastAsia"/>
        </w:rPr>
        <w:t>RT-PCR</w:t>
      </w:r>
      <w:r w:rsidRPr="005B4D1E">
        <w:rPr>
          <w:rFonts w:hint="eastAsia"/>
        </w:rPr>
        <w:t>检测方法</w:t>
      </w:r>
      <w:r w:rsidR="00EC0434">
        <w:rPr>
          <w:rFonts w:hint="eastAsia"/>
        </w:rPr>
        <w:t>的建立</w:t>
      </w:r>
      <w:bookmarkEnd w:id="24"/>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引物和探针的设计与合成：根据GenBank中登录的PRRSV美洲型经典株VR-2332株(AY150564)、高致病性变异株JXA1(EF112445)以及欧洲型LV株(M96262)的基因组序列，利</w:t>
      </w:r>
      <w:r w:rsidRPr="005B4D1E">
        <w:rPr>
          <w:rFonts w:ascii="宋体" w:eastAsia="宋体" w:hAnsi="宋体" w:hint="eastAsia"/>
          <w:sz w:val="21"/>
          <w:szCs w:val="21"/>
        </w:rPr>
        <w:lastRenderedPageBreak/>
        <w:t>用Primer Express 3.0软件包设计特异性扩增引物和TaqMan探针（表3），由宝生物工程（大连）有限公司合成。</w:t>
      </w:r>
    </w:p>
    <w:p w:rsidR="009D14A5" w:rsidRPr="005B4D1E" w:rsidRDefault="009D14A5" w:rsidP="003B0360">
      <w:pPr>
        <w:pStyle w:val="a6"/>
        <w:spacing w:before="156"/>
      </w:pPr>
      <w:bookmarkStart w:id="25" w:name="_Toc405816410"/>
      <w:r w:rsidRPr="005B4D1E">
        <w:rPr>
          <w:rFonts w:hint="eastAsia"/>
        </w:rPr>
        <w:t>表</w:t>
      </w:r>
      <w:r w:rsidR="003B0360">
        <w:rPr>
          <w:rFonts w:hint="eastAsia"/>
        </w:rPr>
        <w:t xml:space="preserve">3 </w:t>
      </w:r>
      <w:r w:rsidRPr="005B4D1E">
        <w:rPr>
          <w:rFonts w:hint="eastAsia"/>
        </w:rPr>
        <w:t>引物及探针序列</w:t>
      </w:r>
      <w:bookmarkEnd w:id="25"/>
    </w:p>
    <w:p w:rsidR="009D14A5" w:rsidRPr="005B4D1E" w:rsidRDefault="009D14A5" w:rsidP="009D14A5">
      <w:pPr>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4563110" cy="1552575"/>
            <wp:effectExtent l="19050" t="0" r="8890" b="0"/>
            <wp:docPr id="2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29" cstate="print"/>
                    <a:srcRect/>
                    <a:stretch>
                      <a:fillRect/>
                    </a:stretch>
                  </pic:blipFill>
                  <pic:spPr bwMode="auto">
                    <a:xfrm>
                      <a:off x="0" y="0"/>
                      <a:ext cx="4563110" cy="1552575"/>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注：AM-PRRSV-F和AM-PRRSV-R引物对扩增美洲经典株片段长度为195bp、变异株片段长度为108bp。</w:t>
      </w:r>
    </w:p>
    <w:p w:rsidR="009D14A5" w:rsidRPr="005B4D1E" w:rsidRDefault="009D14A5" w:rsidP="009D14A5">
      <w:pPr>
        <w:spacing w:line="360" w:lineRule="auto"/>
        <w:rPr>
          <w:rFonts w:ascii="宋体" w:eastAsia="宋体" w:hAnsi="宋体"/>
          <w:sz w:val="21"/>
          <w:szCs w:val="21"/>
        </w:rPr>
      </w:pP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 xml:space="preserve">  重组质粒标准品制备：</w:t>
      </w:r>
      <w:r w:rsidRPr="005B4D1E">
        <w:rPr>
          <w:rFonts w:ascii="宋体" w:eastAsia="宋体" w:hAnsi="宋体" w:hint="eastAsia"/>
          <w:sz w:val="21"/>
          <w:szCs w:val="21"/>
        </w:rPr>
        <w:t>以重组质粒p-Nsp2-VR2332、p-Nsp2-JXA1和p-EU-ORFla为模版，以AM-PRRSV-F/R、EU-PRRSV-F/R特异性引物分别进行PCR扩增得到195bp、108bp、110bp目的片段。用胶回收试剂盒纯化PCR产物后，连接到pMD18-T载体、转化DH5</w:t>
      </w:r>
      <w:r w:rsidRPr="005B4D1E">
        <w:rPr>
          <w:rFonts w:ascii="宋体" w:eastAsia="宋体" w:hAnsi="宋体" w:cs="Arial"/>
          <w:sz w:val="21"/>
          <w:szCs w:val="21"/>
        </w:rPr>
        <w:t>α</w:t>
      </w:r>
      <w:r w:rsidRPr="005B4D1E">
        <w:rPr>
          <w:rFonts w:ascii="宋体" w:eastAsia="宋体" w:hAnsi="宋体" w:hint="eastAsia"/>
          <w:sz w:val="21"/>
          <w:szCs w:val="21"/>
        </w:rPr>
        <w:t>感受态细胞。挑取阳性菌进行增菌培养后，用质粒抽提试剂盒提取质粒，进行PCR、EcoR I和Hind III酶切及测序鉴定（图17）。构建的重组质粒标准品分别命名为p-C-Nsp2、p-V-Nsp2和p-E-ORFla。用紫外分光光度计测定质粒的光吸收值(OD</w:t>
      </w:r>
      <w:r w:rsidRPr="005B4D1E">
        <w:rPr>
          <w:rFonts w:ascii="宋体" w:eastAsia="宋体" w:hAnsi="宋体" w:hint="eastAsia"/>
          <w:sz w:val="21"/>
          <w:szCs w:val="21"/>
          <w:vertAlign w:val="subscript"/>
        </w:rPr>
        <w:t>260</w:t>
      </w:r>
      <w:r w:rsidRPr="005B4D1E">
        <w:rPr>
          <w:rFonts w:ascii="宋体" w:eastAsia="宋体" w:hAnsi="宋体" w:hint="eastAsia"/>
          <w:sz w:val="21"/>
          <w:szCs w:val="21"/>
        </w:rPr>
        <w:t>)，计算出摩尔浓度，根据公式</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换算成拷贝数：每</w:t>
      </w:r>
      <w:r w:rsidRPr="005B4D1E">
        <w:rPr>
          <w:rFonts w:ascii="宋体" w:eastAsia="宋体" w:hAnsi="宋体"/>
          <w:sz w:val="21"/>
          <w:szCs w:val="21"/>
        </w:rPr>
        <w:t>µ</w:t>
      </w:r>
      <w:r w:rsidRPr="005B4D1E">
        <w:rPr>
          <w:rFonts w:ascii="宋体" w:eastAsia="宋体" w:hAnsi="宋体" w:hint="eastAsia"/>
          <w:sz w:val="21"/>
          <w:szCs w:val="21"/>
        </w:rPr>
        <w:t>L样品中检测基因的拷贝数=浓度(ng/</w:t>
      </w:r>
      <w:r w:rsidRPr="005B4D1E">
        <w:rPr>
          <w:rFonts w:ascii="宋体" w:eastAsia="宋体" w:hAnsi="宋体"/>
          <w:sz w:val="21"/>
          <w:szCs w:val="21"/>
        </w:rPr>
        <w:t>µ</w:t>
      </w:r>
      <w:r w:rsidRPr="005B4D1E">
        <w:rPr>
          <w:rFonts w:ascii="宋体" w:eastAsia="宋体" w:hAnsi="宋体" w:hint="eastAsia"/>
          <w:sz w:val="21"/>
          <w:szCs w:val="21"/>
        </w:rPr>
        <w:t>L)</w:t>
      </w:r>
      <w:r w:rsidRPr="005B4D1E">
        <w:rPr>
          <w:rFonts w:ascii="宋体" w:eastAsia="宋体" w:hAnsi="宋体" w:cs="Arial"/>
          <w:sz w:val="21"/>
          <w:szCs w:val="21"/>
        </w:rPr>
        <w:t>×</w:t>
      </w:r>
      <w:r w:rsidRPr="005B4D1E">
        <w:rPr>
          <w:rFonts w:ascii="宋体" w:eastAsia="宋体" w:hAnsi="宋体" w:hint="eastAsia"/>
          <w:sz w:val="21"/>
          <w:szCs w:val="21"/>
        </w:rPr>
        <w:t>阿佛加德罗常数</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-9</w:t>
      </w:r>
      <w:r w:rsidRPr="005B4D1E">
        <w:rPr>
          <w:rFonts w:ascii="宋体" w:eastAsia="宋体" w:hAnsi="宋体" w:hint="eastAsia"/>
          <w:sz w:val="21"/>
          <w:szCs w:val="21"/>
        </w:rPr>
        <w:t>/(660</w:t>
      </w:r>
      <w:r w:rsidRPr="005B4D1E">
        <w:rPr>
          <w:rFonts w:ascii="宋体" w:eastAsia="宋体" w:hAnsi="宋体" w:cs="Arial"/>
          <w:sz w:val="21"/>
          <w:szCs w:val="21"/>
        </w:rPr>
        <w:t>×</w:t>
      </w:r>
      <w:r w:rsidRPr="005B4D1E">
        <w:rPr>
          <w:rFonts w:ascii="宋体" w:eastAsia="宋体" w:hAnsi="宋体" w:hint="eastAsia"/>
          <w:sz w:val="21"/>
          <w:szCs w:val="21"/>
        </w:rPr>
        <w:t>重组质粒碱基数)，</w:t>
      </w:r>
      <w:smartTag w:uri="urn:schemas-microsoft-com:office:smarttags" w:element="chmetcnv">
        <w:smartTagPr>
          <w:attr w:name="TCSC" w:val="0"/>
          <w:attr w:name="NumberType" w:val="1"/>
          <w:attr w:name="Negative" w:val="True"/>
          <w:attr w:name="HasSpace" w:val="False"/>
          <w:attr w:name="SourceValue" w:val="20"/>
          <w:attr w:name="UnitName" w:val="℃"/>
        </w:smartTagPr>
        <w:r w:rsidRPr="005B4D1E">
          <w:rPr>
            <w:rFonts w:ascii="宋体" w:eastAsia="宋体" w:hAnsi="宋体" w:hint="eastAsia"/>
            <w:sz w:val="21"/>
            <w:szCs w:val="21"/>
          </w:rPr>
          <w:t>-20℃</w:t>
        </w:r>
      </w:smartTag>
      <w:r w:rsidRPr="005B4D1E">
        <w:rPr>
          <w:rFonts w:ascii="宋体" w:eastAsia="宋体" w:hAnsi="宋体" w:hint="eastAsia"/>
          <w:sz w:val="21"/>
          <w:szCs w:val="21"/>
        </w:rPr>
        <w:t>保存备用。</w:t>
      </w:r>
    </w:p>
    <w:p w:rsidR="009D14A5" w:rsidRPr="005B4D1E" w:rsidRDefault="009D14A5" w:rsidP="009D14A5">
      <w:pPr>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3088005" cy="1828800"/>
            <wp:effectExtent l="19050" t="0" r="0" b="0"/>
            <wp:docPr id="2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 cstate="print"/>
                    <a:srcRect/>
                    <a:stretch>
                      <a:fillRect/>
                    </a:stretch>
                  </pic:blipFill>
                  <pic:spPr bwMode="auto">
                    <a:xfrm>
                      <a:off x="0" y="0"/>
                      <a:ext cx="3088005" cy="1828800"/>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M：DNA标准DL500；2：PCR产物；1：EcoR I+Hind III酶切产物</w:t>
      </w:r>
    </w:p>
    <w:p w:rsidR="009D14A5" w:rsidRPr="005B4D1E" w:rsidRDefault="009D14A5" w:rsidP="003B0360">
      <w:pPr>
        <w:pStyle w:val="a5"/>
        <w:spacing w:after="156"/>
      </w:pPr>
      <w:bookmarkStart w:id="26" w:name="_Toc405816321"/>
      <w:r w:rsidRPr="005B4D1E">
        <w:rPr>
          <w:rFonts w:hint="eastAsia"/>
        </w:rPr>
        <w:t>图</w:t>
      </w:r>
      <w:r w:rsidR="003B0360">
        <w:rPr>
          <w:rFonts w:hint="eastAsia"/>
        </w:rPr>
        <w:t xml:space="preserve">17 </w:t>
      </w:r>
      <w:r w:rsidRPr="005B4D1E">
        <w:rPr>
          <w:rFonts w:hint="eastAsia"/>
        </w:rPr>
        <w:t>重组质粒的鉴定</w:t>
      </w:r>
      <w:bookmarkEnd w:id="26"/>
    </w:p>
    <w:p w:rsidR="009D14A5" w:rsidRPr="005B4D1E" w:rsidRDefault="009D14A5" w:rsidP="009D14A5">
      <w:pPr>
        <w:spacing w:line="360" w:lineRule="auto"/>
        <w:rPr>
          <w:rFonts w:ascii="宋体" w:eastAsia="宋体" w:hAnsi="宋体"/>
          <w:b/>
          <w:bCs/>
          <w:sz w:val="21"/>
          <w:szCs w:val="21"/>
        </w:rPr>
      </w:pP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lastRenderedPageBreak/>
        <w:t xml:space="preserve">    </w:t>
      </w:r>
      <w:r w:rsidRPr="005B4D1E">
        <w:rPr>
          <w:rFonts w:ascii="宋体" w:eastAsia="宋体" w:hAnsi="宋体" w:hint="eastAsia"/>
          <w:b/>
          <w:sz w:val="21"/>
          <w:szCs w:val="21"/>
        </w:rPr>
        <w:t>多重real-time PCR反应条件的优化：</w:t>
      </w:r>
      <w:r w:rsidRPr="005B4D1E">
        <w:rPr>
          <w:rFonts w:ascii="宋体" w:eastAsia="宋体" w:hAnsi="宋体" w:hint="eastAsia"/>
          <w:sz w:val="21"/>
          <w:szCs w:val="21"/>
        </w:rPr>
        <w:t>根据Premix Ex Taq</w:t>
      </w:r>
      <w:r w:rsidRPr="005B4D1E">
        <w:rPr>
          <w:rFonts w:ascii="宋体" w:eastAsia="宋体" w:hAnsi="宋体" w:hint="eastAsia"/>
          <w:sz w:val="21"/>
          <w:szCs w:val="21"/>
          <w:vertAlign w:val="superscript"/>
        </w:rPr>
        <w:t>TM</w:t>
      </w:r>
      <w:r w:rsidRPr="005B4D1E">
        <w:rPr>
          <w:rFonts w:ascii="宋体" w:eastAsia="宋体" w:hAnsi="宋体" w:hint="eastAsia"/>
          <w:sz w:val="21"/>
          <w:szCs w:val="21"/>
        </w:rPr>
        <w:t>(Perfect Real Time)试剂盒的体系[Premix Ex TaqTM 12.5</w:t>
      </w:r>
      <w:r w:rsidRPr="005B4D1E">
        <w:rPr>
          <w:rFonts w:ascii="宋体" w:eastAsia="宋体" w:hAnsi="宋体"/>
          <w:sz w:val="21"/>
          <w:szCs w:val="21"/>
        </w:rPr>
        <w:t>µ</w:t>
      </w:r>
      <w:r w:rsidRPr="005B4D1E">
        <w:rPr>
          <w:rFonts w:ascii="宋体" w:eastAsia="宋体" w:hAnsi="宋体" w:hint="eastAsia"/>
          <w:sz w:val="21"/>
          <w:szCs w:val="21"/>
        </w:rPr>
        <w:t>L；Rox Reference Dye(50×)0.5</w:t>
      </w:r>
      <w:r w:rsidRPr="005B4D1E">
        <w:rPr>
          <w:rFonts w:ascii="宋体" w:eastAsia="宋体" w:hAnsi="宋体"/>
          <w:sz w:val="21"/>
          <w:szCs w:val="21"/>
        </w:rPr>
        <w:t>µ</w:t>
      </w:r>
      <w:r w:rsidRPr="005B4D1E">
        <w:rPr>
          <w:rFonts w:ascii="宋体" w:eastAsia="宋体" w:hAnsi="宋体" w:hint="eastAsia"/>
          <w:sz w:val="21"/>
          <w:szCs w:val="21"/>
        </w:rPr>
        <w:t>L；上下游引物(25pmol/</w:t>
      </w:r>
      <w:r w:rsidRPr="005B4D1E">
        <w:rPr>
          <w:rFonts w:ascii="宋体" w:eastAsia="宋体" w:hAnsi="宋体"/>
          <w:sz w:val="21"/>
          <w:szCs w:val="21"/>
        </w:rPr>
        <w:t>µ</w:t>
      </w:r>
      <w:r w:rsidRPr="005B4D1E">
        <w:rPr>
          <w:rFonts w:ascii="宋体" w:eastAsia="宋体" w:hAnsi="宋体" w:hint="eastAsia"/>
          <w:sz w:val="21"/>
          <w:szCs w:val="21"/>
        </w:rPr>
        <w:t>L)各0.5</w:t>
      </w:r>
      <w:r w:rsidRPr="005B4D1E">
        <w:rPr>
          <w:rFonts w:ascii="宋体" w:eastAsia="宋体" w:hAnsi="宋体"/>
          <w:sz w:val="21"/>
          <w:szCs w:val="21"/>
        </w:rPr>
        <w:t>µ</w:t>
      </w:r>
      <w:r w:rsidRPr="005B4D1E">
        <w:rPr>
          <w:rFonts w:ascii="宋体" w:eastAsia="宋体" w:hAnsi="宋体" w:hint="eastAsia"/>
          <w:sz w:val="21"/>
          <w:szCs w:val="21"/>
        </w:rPr>
        <w:t>L；探针(25pmol/</w:t>
      </w:r>
      <w:r w:rsidRPr="005B4D1E">
        <w:rPr>
          <w:rFonts w:ascii="宋体" w:eastAsia="宋体" w:hAnsi="宋体"/>
          <w:sz w:val="21"/>
          <w:szCs w:val="21"/>
        </w:rPr>
        <w:t>µ</w:t>
      </w:r>
      <w:r w:rsidRPr="005B4D1E">
        <w:rPr>
          <w:rFonts w:ascii="宋体" w:eastAsia="宋体" w:hAnsi="宋体" w:hint="eastAsia"/>
          <w:sz w:val="21"/>
          <w:szCs w:val="21"/>
        </w:rPr>
        <w:t>L)1</w:t>
      </w:r>
      <w:r w:rsidRPr="005B4D1E">
        <w:rPr>
          <w:rFonts w:ascii="宋体" w:eastAsia="宋体" w:hAnsi="宋体"/>
          <w:sz w:val="21"/>
          <w:szCs w:val="21"/>
        </w:rPr>
        <w:t>µ</w:t>
      </w:r>
      <w:r w:rsidRPr="005B4D1E">
        <w:rPr>
          <w:rFonts w:ascii="宋体" w:eastAsia="宋体" w:hAnsi="宋体" w:hint="eastAsia"/>
          <w:sz w:val="21"/>
          <w:szCs w:val="21"/>
        </w:rPr>
        <w:t>L；总阳性标准品质粒2</w:t>
      </w:r>
      <w:r w:rsidRPr="005B4D1E">
        <w:rPr>
          <w:rFonts w:ascii="宋体" w:eastAsia="宋体" w:hAnsi="宋体"/>
          <w:sz w:val="21"/>
          <w:szCs w:val="21"/>
        </w:rPr>
        <w:t>µ</w:t>
      </w:r>
      <w:r w:rsidRPr="005B4D1E">
        <w:rPr>
          <w:rFonts w:ascii="宋体" w:eastAsia="宋体" w:hAnsi="宋体" w:hint="eastAsia"/>
          <w:sz w:val="21"/>
          <w:szCs w:val="21"/>
        </w:rPr>
        <w:t>L；补灭菌双蒸水至总体积为25</w:t>
      </w:r>
      <w:r w:rsidRPr="005B4D1E">
        <w:rPr>
          <w:rFonts w:ascii="宋体" w:eastAsia="宋体" w:hAnsi="宋体"/>
          <w:sz w:val="21"/>
          <w:szCs w:val="21"/>
        </w:rPr>
        <w:t>µ</w:t>
      </w:r>
      <w:r w:rsidRPr="005B4D1E">
        <w:rPr>
          <w:rFonts w:ascii="宋体" w:eastAsia="宋体" w:hAnsi="宋体" w:hint="eastAsia"/>
          <w:sz w:val="21"/>
          <w:szCs w:val="21"/>
        </w:rPr>
        <w:t>L]，进行单重Real-time PCR反应，获得相应的扩增曲线。单重real-time PCR反应程序为：</w:t>
      </w:r>
      <w:smartTag w:uri="urn:schemas-microsoft-com:office:smarttags" w:element="chmetcnv">
        <w:smartTagPr>
          <w:attr w:name="TCSC" w:val="0"/>
          <w:attr w:name="NumberType" w:val="1"/>
          <w:attr w:name="Negative" w:val="False"/>
          <w:attr w:name="HasSpace" w:val="False"/>
          <w:attr w:name="SourceValue" w:val="95"/>
          <w:attr w:name="UnitName" w:val="℃"/>
        </w:smartTagPr>
        <w:r w:rsidRPr="005B4D1E">
          <w:rPr>
            <w:rFonts w:ascii="宋体" w:eastAsia="宋体" w:hAnsi="宋体" w:hint="eastAsia"/>
            <w:sz w:val="21"/>
            <w:szCs w:val="21"/>
          </w:rPr>
          <w:t>95℃</w:t>
        </w:r>
      </w:smartTag>
      <w:r w:rsidRPr="005B4D1E">
        <w:rPr>
          <w:rFonts w:ascii="宋体" w:eastAsia="宋体" w:hAnsi="宋体" w:hint="eastAsia"/>
          <w:sz w:val="21"/>
          <w:szCs w:val="21"/>
        </w:rPr>
        <w:t>2min；</w:t>
      </w:r>
      <w:smartTag w:uri="urn:schemas-microsoft-com:office:smarttags" w:element="chmetcnv">
        <w:smartTagPr>
          <w:attr w:name="TCSC" w:val="0"/>
          <w:attr w:name="NumberType" w:val="1"/>
          <w:attr w:name="Negative" w:val="False"/>
          <w:attr w:name="HasSpace" w:val="False"/>
          <w:attr w:name="SourceValue" w:val="95"/>
          <w:attr w:name="UnitName" w:val="℃"/>
        </w:smartTagPr>
        <w:r w:rsidRPr="005B4D1E">
          <w:rPr>
            <w:rFonts w:ascii="宋体" w:eastAsia="宋体" w:hAnsi="宋体" w:hint="eastAsia"/>
            <w:sz w:val="21"/>
            <w:szCs w:val="21"/>
          </w:rPr>
          <w:t>95℃</w:t>
        </w:r>
      </w:smartTag>
      <w:r w:rsidRPr="005B4D1E">
        <w:rPr>
          <w:rFonts w:ascii="宋体" w:eastAsia="宋体" w:hAnsi="宋体" w:hint="eastAsia"/>
          <w:sz w:val="21"/>
          <w:szCs w:val="21"/>
        </w:rPr>
        <w:t>10s，</w:t>
      </w:r>
      <w:smartTag w:uri="urn:schemas-microsoft-com:office:smarttags" w:element="chmetcnv">
        <w:smartTagPr>
          <w:attr w:name="TCSC" w:val="0"/>
          <w:attr w:name="NumberType" w:val="1"/>
          <w:attr w:name="Negative" w:val="False"/>
          <w:attr w:name="HasSpace" w:val="False"/>
          <w:attr w:name="SourceValue" w:val="60"/>
          <w:attr w:name="UnitName" w:val="℃"/>
        </w:smartTagPr>
        <w:r w:rsidRPr="005B4D1E">
          <w:rPr>
            <w:rFonts w:ascii="宋体" w:eastAsia="宋体" w:hAnsi="宋体" w:hint="eastAsia"/>
            <w:sz w:val="21"/>
            <w:szCs w:val="21"/>
          </w:rPr>
          <w:t>60℃</w:t>
        </w:r>
      </w:smartTag>
      <w:r w:rsidRPr="005B4D1E">
        <w:rPr>
          <w:rFonts w:ascii="宋体" w:eastAsia="宋体" w:hAnsi="宋体" w:hint="eastAsia"/>
          <w:sz w:val="21"/>
          <w:szCs w:val="21"/>
        </w:rPr>
        <w:t>30s，40个循环。首先，以构建的3种标准品质粒p-C-Nsp2、p-V-Nsp2、p-E-ORFla为模板，利用矩阵法对单重Real-time PCR的引物、探针和最佳退火温度进行优化，筛选出能够分别扩增p-C-Nsp2、p-V-Nsp2、p-E-ORFla的单重real-time PCR的引物、探针浓度和最佳退火温度。其次，将引物与探针两两配对，选择出能够两两配对且成功扩增相应模板的二重引物、探针浓度和最佳退火温度。最后，将2种引物与3条探针优化组合，筛选出能够同时检测p-C-Nsp2、p-V-Nsp2、p-E-ORF5三种标准品质粒的最适引物、探针浓度和最佳退火温度，最后优化各模板量之间的比例。</w:t>
      </w:r>
    </w:p>
    <w:p w:rsidR="009D14A5" w:rsidRPr="005B4D1E" w:rsidRDefault="009D14A5" w:rsidP="009D14A5">
      <w:pPr>
        <w:wordWrap w:val="0"/>
        <w:spacing w:line="360" w:lineRule="auto"/>
        <w:rPr>
          <w:rFonts w:ascii="宋体" w:eastAsia="宋体" w:hAnsi="宋体"/>
          <w:sz w:val="21"/>
          <w:szCs w:val="21"/>
        </w:rPr>
      </w:pPr>
      <w:r w:rsidRPr="005B4D1E">
        <w:rPr>
          <w:rFonts w:ascii="宋体" w:eastAsia="宋体" w:hAnsi="宋体" w:hint="eastAsia"/>
          <w:sz w:val="21"/>
          <w:szCs w:val="21"/>
        </w:rPr>
        <w:t xml:space="preserve">    结果，经过优化后，确定多重real-time PCR 25</w:t>
      </w:r>
      <w:r w:rsidRPr="005B4D1E">
        <w:rPr>
          <w:rFonts w:ascii="宋体" w:eastAsia="宋体" w:hAnsi="宋体"/>
          <w:sz w:val="21"/>
          <w:szCs w:val="21"/>
        </w:rPr>
        <w:t>µ</w:t>
      </w:r>
      <w:r w:rsidRPr="005B4D1E">
        <w:rPr>
          <w:rFonts w:ascii="宋体" w:eastAsia="宋体" w:hAnsi="宋体" w:hint="eastAsia"/>
          <w:sz w:val="21"/>
          <w:szCs w:val="21"/>
        </w:rPr>
        <w:t>L体系为：Premix Ex Taq</w:t>
      </w:r>
      <w:r w:rsidRPr="005B4D1E">
        <w:rPr>
          <w:rFonts w:ascii="宋体" w:eastAsia="宋体" w:hAnsi="宋体" w:hint="eastAsia"/>
          <w:sz w:val="21"/>
          <w:szCs w:val="21"/>
          <w:vertAlign w:val="superscript"/>
        </w:rPr>
        <w:t>TM</w:t>
      </w:r>
      <w:r w:rsidRPr="005B4D1E">
        <w:rPr>
          <w:rFonts w:ascii="宋体" w:eastAsia="宋体" w:hAnsi="宋体" w:hint="eastAsia"/>
          <w:sz w:val="21"/>
          <w:szCs w:val="21"/>
        </w:rPr>
        <w:t>(PerfectRealTime)12.5</w:t>
      </w:r>
      <w:r w:rsidRPr="005B4D1E">
        <w:rPr>
          <w:rFonts w:ascii="宋体" w:eastAsia="宋体" w:hAnsi="宋体"/>
          <w:sz w:val="21"/>
          <w:szCs w:val="21"/>
        </w:rPr>
        <w:t>µ</w:t>
      </w:r>
      <w:r w:rsidRPr="005B4D1E">
        <w:rPr>
          <w:rFonts w:ascii="宋体" w:eastAsia="宋体" w:hAnsi="宋体" w:hint="eastAsia"/>
          <w:sz w:val="21"/>
          <w:szCs w:val="21"/>
        </w:rPr>
        <w:t>LAM-PRRSV-F(10</w:t>
      </w:r>
      <w:r w:rsidRPr="005B4D1E">
        <w:rPr>
          <w:rFonts w:ascii="宋体" w:eastAsia="宋体" w:hAnsi="宋体"/>
          <w:sz w:val="21"/>
          <w:szCs w:val="21"/>
        </w:rPr>
        <w:t>µ</w:t>
      </w:r>
      <w:r w:rsidRPr="005B4D1E">
        <w:rPr>
          <w:rFonts w:ascii="宋体" w:eastAsia="宋体" w:hAnsi="宋体" w:hint="eastAsia"/>
          <w:sz w:val="21"/>
          <w:szCs w:val="21"/>
        </w:rPr>
        <w:t>mol/L)、AM-PRRSV-R(10</w:t>
      </w:r>
      <w:r w:rsidRPr="005B4D1E">
        <w:rPr>
          <w:rFonts w:ascii="宋体" w:eastAsia="宋体" w:hAnsi="宋体"/>
          <w:sz w:val="21"/>
          <w:szCs w:val="21"/>
        </w:rPr>
        <w:t>µ</w:t>
      </w:r>
      <w:r w:rsidRPr="005B4D1E">
        <w:rPr>
          <w:rFonts w:ascii="宋体" w:eastAsia="宋体" w:hAnsi="宋体" w:hint="eastAsia"/>
          <w:sz w:val="21"/>
          <w:szCs w:val="21"/>
        </w:rPr>
        <w:t>mol/L)各0.5</w:t>
      </w:r>
      <w:r w:rsidRPr="005B4D1E">
        <w:rPr>
          <w:rFonts w:ascii="宋体" w:eastAsia="宋体" w:hAnsi="宋体"/>
          <w:sz w:val="21"/>
          <w:szCs w:val="21"/>
        </w:rPr>
        <w:t>µ</w:t>
      </w:r>
      <w:r w:rsidRPr="005B4D1E">
        <w:rPr>
          <w:rFonts w:ascii="宋体" w:eastAsia="宋体" w:hAnsi="宋体" w:hint="eastAsia"/>
          <w:sz w:val="21"/>
          <w:szCs w:val="21"/>
        </w:rPr>
        <w:t>L、0.2</w:t>
      </w:r>
      <w:r w:rsidRPr="005B4D1E">
        <w:rPr>
          <w:rFonts w:ascii="宋体" w:eastAsia="宋体" w:hAnsi="宋体"/>
          <w:sz w:val="21"/>
          <w:szCs w:val="21"/>
        </w:rPr>
        <w:t>µ</w:t>
      </w:r>
      <w:r w:rsidRPr="005B4D1E">
        <w:rPr>
          <w:rFonts w:ascii="宋体" w:eastAsia="宋体" w:hAnsi="宋体" w:hint="eastAsia"/>
          <w:sz w:val="21"/>
          <w:szCs w:val="21"/>
        </w:rPr>
        <w:t>LAM-V-PRRSV-P(10</w:t>
      </w:r>
      <w:r w:rsidRPr="005B4D1E">
        <w:rPr>
          <w:rFonts w:ascii="宋体" w:eastAsia="宋体" w:hAnsi="宋体"/>
          <w:sz w:val="21"/>
          <w:szCs w:val="21"/>
        </w:rPr>
        <w:t>µ</w:t>
      </w:r>
      <w:r w:rsidRPr="005B4D1E">
        <w:rPr>
          <w:rFonts w:ascii="宋体" w:eastAsia="宋体" w:hAnsi="宋体" w:hint="eastAsia"/>
          <w:sz w:val="21"/>
          <w:szCs w:val="21"/>
        </w:rPr>
        <w:t>mol/L)、0.2</w:t>
      </w:r>
      <w:r w:rsidRPr="005B4D1E">
        <w:rPr>
          <w:rFonts w:ascii="宋体" w:eastAsia="宋体" w:hAnsi="宋体"/>
          <w:sz w:val="21"/>
          <w:szCs w:val="21"/>
        </w:rPr>
        <w:t>µ</w:t>
      </w:r>
      <w:r w:rsidRPr="005B4D1E">
        <w:rPr>
          <w:rFonts w:ascii="宋体" w:eastAsia="宋体" w:hAnsi="宋体" w:hint="eastAsia"/>
          <w:sz w:val="21"/>
          <w:szCs w:val="21"/>
        </w:rPr>
        <w:t>L AM-C-PRRSV-P(10</w:t>
      </w:r>
      <w:r w:rsidRPr="005B4D1E">
        <w:rPr>
          <w:rFonts w:ascii="宋体" w:eastAsia="宋体" w:hAnsi="宋体"/>
          <w:sz w:val="21"/>
          <w:szCs w:val="21"/>
        </w:rPr>
        <w:t>µ</w:t>
      </w:r>
      <w:r w:rsidRPr="005B4D1E">
        <w:rPr>
          <w:rFonts w:ascii="宋体" w:eastAsia="宋体" w:hAnsi="宋体" w:hint="eastAsia"/>
          <w:sz w:val="21"/>
          <w:szCs w:val="21"/>
        </w:rPr>
        <w:t>mol/L)，EU-PRRSV-F(20</w:t>
      </w:r>
      <w:r w:rsidRPr="005B4D1E">
        <w:rPr>
          <w:rFonts w:ascii="宋体" w:eastAsia="宋体" w:hAnsi="宋体"/>
          <w:sz w:val="21"/>
          <w:szCs w:val="21"/>
        </w:rPr>
        <w:t>µ</w:t>
      </w:r>
      <w:r w:rsidRPr="005B4D1E">
        <w:rPr>
          <w:rFonts w:ascii="宋体" w:eastAsia="宋体" w:hAnsi="宋体" w:hint="eastAsia"/>
          <w:sz w:val="21"/>
          <w:szCs w:val="21"/>
        </w:rPr>
        <w:t>mol/L)、EU-PRRSV-R(20</w:t>
      </w:r>
      <w:r w:rsidRPr="005B4D1E">
        <w:rPr>
          <w:rFonts w:ascii="宋体" w:eastAsia="宋体" w:hAnsi="宋体"/>
          <w:sz w:val="21"/>
          <w:szCs w:val="21"/>
        </w:rPr>
        <w:t>µ</w:t>
      </w:r>
      <w:r w:rsidRPr="005B4D1E">
        <w:rPr>
          <w:rFonts w:ascii="宋体" w:eastAsia="宋体" w:hAnsi="宋体" w:hint="eastAsia"/>
          <w:sz w:val="21"/>
          <w:szCs w:val="21"/>
        </w:rPr>
        <w:t>mol/L)各0.6</w:t>
      </w:r>
      <w:r w:rsidRPr="005B4D1E">
        <w:rPr>
          <w:rFonts w:ascii="宋体" w:eastAsia="宋体" w:hAnsi="宋体"/>
          <w:sz w:val="21"/>
          <w:szCs w:val="21"/>
        </w:rPr>
        <w:t>µ</w:t>
      </w:r>
      <w:r w:rsidRPr="005B4D1E">
        <w:rPr>
          <w:rFonts w:ascii="宋体" w:eastAsia="宋体" w:hAnsi="宋体" w:hint="eastAsia"/>
          <w:sz w:val="21"/>
          <w:szCs w:val="21"/>
        </w:rPr>
        <w:t>L、0.5</w:t>
      </w:r>
      <w:r w:rsidRPr="005B4D1E">
        <w:rPr>
          <w:rFonts w:ascii="宋体" w:eastAsia="宋体" w:hAnsi="宋体"/>
          <w:sz w:val="21"/>
          <w:szCs w:val="21"/>
        </w:rPr>
        <w:t>µ</w:t>
      </w:r>
      <w:r w:rsidRPr="005B4D1E">
        <w:rPr>
          <w:rFonts w:ascii="宋体" w:eastAsia="宋体" w:hAnsi="宋体" w:hint="eastAsia"/>
          <w:sz w:val="21"/>
          <w:szCs w:val="21"/>
        </w:rPr>
        <w:t>L U-PRRSV-P(20</w:t>
      </w:r>
      <w:r w:rsidRPr="005B4D1E">
        <w:rPr>
          <w:rFonts w:ascii="宋体" w:eastAsia="宋体" w:hAnsi="宋体"/>
          <w:sz w:val="21"/>
          <w:szCs w:val="21"/>
        </w:rPr>
        <w:t>µ</w:t>
      </w:r>
      <w:r w:rsidRPr="005B4D1E">
        <w:rPr>
          <w:rFonts w:ascii="宋体" w:eastAsia="宋体" w:hAnsi="宋体" w:hint="eastAsia"/>
          <w:sz w:val="21"/>
          <w:szCs w:val="21"/>
        </w:rPr>
        <w:t>mol/L)，ROX参比染料0.2</w:t>
      </w:r>
      <w:r w:rsidRPr="005B4D1E">
        <w:rPr>
          <w:rFonts w:ascii="宋体" w:eastAsia="宋体" w:hAnsi="宋体"/>
          <w:sz w:val="21"/>
          <w:szCs w:val="21"/>
        </w:rPr>
        <w:t>µ</w:t>
      </w:r>
      <w:r w:rsidRPr="005B4D1E">
        <w:rPr>
          <w:rFonts w:ascii="宋体" w:eastAsia="宋体" w:hAnsi="宋体" w:hint="eastAsia"/>
          <w:sz w:val="21"/>
          <w:szCs w:val="21"/>
        </w:rPr>
        <w:t>L，模板p-C-Nsp2、p-V-Nsp2和p-E-ORFla按比例混合总共2</w:t>
      </w:r>
      <w:r w:rsidRPr="005B4D1E">
        <w:rPr>
          <w:rFonts w:ascii="宋体" w:eastAsia="宋体" w:hAnsi="宋体"/>
          <w:sz w:val="21"/>
          <w:szCs w:val="21"/>
        </w:rPr>
        <w:t>µ</w:t>
      </w:r>
      <w:r w:rsidRPr="005B4D1E">
        <w:rPr>
          <w:rFonts w:ascii="宋体" w:eastAsia="宋体" w:hAnsi="宋体" w:hint="eastAsia"/>
          <w:sz w:val="21"/>
          <w:szCs w:val="21"/>
        </w:rPr>
        <w:t>L，用灭菌双蒸水补至25</w:t>
      </w:r>
      <w:r w:rsidRPr="005B4D1E">
        <w:rPr>
          <w:rFonts w:ascii="宋体" w:eastAsia="宋体" w:hAnsi="宋体"/>
          <w:sz w:val="21"/>
          <w:szCs w:val="21"/>
        </w:rPr>
        <w:t>µ</w:t>
      </w:r>
      <w:r w:rsidRPr="005B4D1E">
        <w:rPr>
          <w:rFonts w:ascii="宋体" w:eastAsia="宋体" w:hAnsi="宋体" w:hint="eastAsia"/>
          <w:sz w:val="21"/>
          <w:szCs w:val="21"/>
        </w:rPr>
        <w:t>L。最佳反应条件：</w:t>
      </w:r>
      <w:smartTag w:uri="urn:schemas-microsoft-com:office:smarttags" w:element="chmetcnv">
        <w:smartTagPr>
          <w:attr w:name="TCSC" w:val="0"/>
          <w:attr w:name="NumberType" w:val="1"/>
          <w:attr w:name="Negative" w:val="False"/>
          <w:attr w:name="HasSpace" w:val="False"/>
          <w:attr w:name="SourceValue" w:val="95"/>
          <w:attr w:name="UnitName" w:val="℃"/>
        </w:smartTagPr>
        <w:r w:rsidRPr="005B4D1E">
          <w:rPr>
            <w:rFonts w:ascii="宋体" w:eastAsia="宋体" w:hAnsi="宋体" w:hint="eastAsia"/>
            <w:sz w:val="21"/>
            <w:szCs w:val="21"/>
          </w:rPr>
          <w:t>95℃</w:t>
        </w:r>
      </w:smartTag>
      <w:r w:rsidRPr="005B4D1E">
        <w:rPr>
          <w:rFonts w:ascii="宋体" w:eastAsia="宋体" w:hAnsi="宋体" w:hint="eastAsia"/>
          <w:sz w:val="21"/>
          <w:szCs w:val="21"/>
        </w:rPr>
        <w:t>2min；</w:t>
      </w:r>
      <w:smartTag w:uri="urn:schemas-microsoft-com:office:smarttags" w:element="chmetcnv">
        <w:smartTagPr>
          <w:attr w:name="TCSC" w:val="0"/>
          <w:attr w:name="NumberType" w:val="1"/>
          <w:attr w:name="Negative" w:val="False"/>
          <w:attr w:name="HasSpace" w:val="False"/>
          <w:attr w:name="SourceValue" w:val="95"/>
          <w:attr w:name="UnitName" w:val="℃"/>
        </w:smartTagPr>
        <w:r w:rsidRPr="005B4D1E">
          <w:rPr>
            <w:rFonts w:ascii="宋体" w:eastAsia="宋体" w:hAnsi="宋体" w:hint="eastAsia"/>
            <w:sz w:val="21"/>
            <w:szCs w:val="21"/>
          </w:rPr>
          <w:t>95℃</w:t>
        </w:r>
      </w:smartTag>
      <w:r w:rsidRPr="005B4D1E">
        <w:rPr>
          <w:rFonts w:ascii="宋体" w:eastAsia="宋体" w:hAnsi="宋体" w:hint="eastAsia"/>
          <w:sz w:val="21"/>
          <w:szCs w:val="21"/>
        </w:rPr>
        <w:t>10s，</w:t>
      </w:r>
      <w:smartTag w:uri="urn:schemas-microsoft-com:office:smarttags" w:element="chmetcnv">
        <w:smartTagPr>
          <w:attr w:name="TCSC" w:val="0"/>
          <w:attr w:name="NumberType" w:val="1"/>
          <w:attr w:name="Negative" w:val="False"/>
          <w:attr w:name="HasSpace" w:val="False"/>
          <w:attr w:name="SourceValue" w:val="54"/>
          <w:attr w:name="UnitName" w:val="℃"/>
        </w:smartTagPr>
        <w:r w:rsidRPr="005B4D1E">
          <w:rPr>
            <w:rFonts w:ascii="宋体" w:eastAsia="宋体" w:hAnsi="宋体" w:hint="eastAsia"/>
            <w:sz w:val="21"/>
            <w:szCs w:val="21"/>
          </w:rPr>
          <w:t>54℃</w:t>
        </w:r>
      </w:smartTag>
      <w:r w:rsidRPr="005B4D1E">
        <w:rPr>
          <w:rFonts w:ascii="宋体" w:eastAsia="宋体" w:hAnsi="宋体" w:hint="eastAsia"/>
          <w:sz w:val="21"/>
          <w:szCs w:val="21"/>
        </w:rPr>
        <w:t>30s，40个循环。</w:t>
      </w:r>
    </w:p>
    <w:p w:rsidR="009D14A5" w:rsidRPr="005B4D1E" w:rsidRDefault="009D14A5" w:rsidP="009D14A5">
      <w:pPr>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多重real-time PCR标准曲线的制作：</w:t>
      </w:r>
      <w:r w:rsidRPr="005B4D1E">
        <w:rPr>
          <w:rFonts w:ascii="宋体" w:eastAsia="宋体" w:hAnsi="宋体" w:hint="eastAsia"/>
          <w:sz w:val="21"/>
          <w:szCs w:val="21"/>
        </w:rPr>
        <w:t>将已稀释好的三种质粒（p-C-Nsp2为2.35</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9</w:t>
      </w:r>
      <w:r w:rsidRPr="005B4D1E">
        <w:rPr>
          <w:rFonts w:ascii="宋体" w:eastAsia="宋体" w:hAnsi="宋体" w:hint="eastAsia"/>
          <w:sz w:val="21"/>
          <w:szCs w:val="21"/>
        </w:rPr>
        <w:t>copies/</w:t>
      </w:r>
      <w:r w:rsidRPr="005B4D1E">
        <w:rPr>
          <w:rFonts w:ascii="宋体" w:eastAsia="宋体" w:hAnsi="宋体"/>
          <w:sz w:val="21"/>
          <w:szCs w:val="21"/>
        </w:rPr>
        <w:t>µ</w:t>
      </w:r>
      <w:r w:rsidRPr="005B4D1E">
        <w:rPr>
          <w:rFonts w:ascii="宋体" w:eastAsia="宋体" w:hAnsi="宋体" w:hint="eastAsia"/>
          <w:sz w:val="21"/>
          <w:szCs w:val="21"/>
        </w:rPr>
        <w:t>L，p-V-Nsp2为1.84</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9</w:t>
      </w:r>
      <w:r w:rsidRPr="005B4D1E">
        <w:rPr>
          <w:rFonts w:ascii="宋体" w:eastAsia="宋体" w:hAnsi="宋体" w:hint="eastAsia"/>
          <w:sz w:val="21"/>
          <w:szCs w:val="21"/>
        </w:rPr>
        <w:t>copies/</w:t>
      </w:r>
      <w:r w:rsidRPr="005B4D1E">
        <w:rPr>
          <w:rFonts w:ascii="宋体" w:eastAsia="宋体" w:hAnsi="宋体"/>
          <w:sz w:val="21"/>
          <w:szCs w:val="21"/>
        </w:rPr>
        <w:t>µ</w:t>
      </w:r>
      <w:r w:rsidRPr="005B4D1E">
        <w:rPr>
          <w:rFonts w:ascii="宋体" w:eastAsia="宋体" w:hAnsi="宋体" w:hint="eastAsia"/>
          <w:sz w:val="21"/>
          <w:szCs w:val="21"/>
        </w:rPr>
        <w:t>L，p-E-ORFla为1.66</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9</w:t>
      </w:r>
      <w:r w:rsidRPr="005B4D1E">
        <w:rPr>
          <w:rFonts w:ascii="宋体" w:eastAsia="宋体" w:hAnsi="宋体" w:hint="eastAsia"/>
          <w:sz w:val="21"/>
          <w:szCs w:val="21"/>
        </w:rPr>
        <w:t>copies/</w:t>
      </w:r>
      <w:r w:rsidRPr="005B4D1E">
        <w:rPr>
          <w:rFonts w:ascii="宋体" w:eastAsia="宋体" w:hAnsi="宋体"/>
          <w:sz w:val="21"/>
          <w:szCs w:val="21"/>
        </w:rPr>
        <w:t>µ</w:t>
      </w:r>
      <w:r w:rsidRPr="005B4D1E">
        <w:rPr>
          <w:rFonts w:ascii="宋体" w:eastAsia="宋体" w:hAnsi="宋体" w:hint="eastAsia"/>
          <w:sz w:val="21"/>
          <w:szCs w:val="21"/>
        </w:rPr>
        <w:t>L）按优化好的比例混合，以双蒸水10倍系列稀释成6个梯度(p-C-Nsp2为2.35</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9</w:t>
      </w:r>
      <w:r w:rsidRPr="005B4D1E">
        <w:rPr>
          <w:rFonts w:ascii="宋体" w:eastAsia="宋体" w:hAnsi="宋体" w:hint="eastAsia"/>
          <w:sz w:val="21"/>
          <w:szCs w:val="21"/>
        </w:rPr>
        <w:t>~2.35</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4</w:t>
      </w:r>
      <w:r w:rsidRPr="005B4D1E">
        <w:rPr>
          <w:rFonts w:ascii="宋体" w:eastAsia="宋体" w:hAnsi="宋体" w:hint="eastAsia"/>
          <w:sz w:val="21"/>
          <w:szCs w:val="21"/>
        </w:rPr>
        <w:t>copies/</w:t>
      </w:r>
      <w:r w:rsidRPr="005B4D1E">
        <w:rPr>
          <w:rFonts w:ascii="宋体" w:eastAsia="宋体" w:hAnsi="宋体"/>
          <w:sz w:val="21"/>
          <w:szCs w:val="21"/>
        </w:rPr>
        <w:t>µ</w:t>
      </w:r>
      <w:r w:rsidRPr="005B4D1E">
        <w:rPr>
          <w:rFonts w:ascii="宋体" w:eastAsia="宋体" w:hAnsi="宋体" w:hint="eastAsia"/>
          <w:sz w:val="21"/>
          <w:szCs w:val="21"/>
        </w:rPr>
        <w:t>L，p-V-Nsp2为1.84</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9</w:t>
      </w:r>
      <w:r w:rsidRPr="005B4D1E">
        <w:rPr>
          <w:rFonts w:ascii="宋体" w:eastAsia="宋体" w:hAnsi="宋体" w:hint="eastAsia"/>
          <w:sz w:val="21"/>
          <w:szCs w:val="21"/>
        </w:rPr>
        <w:t>～l.84</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4</w:t>
      </w:r>
      <w:r w:rsidRPr="005B4D1E">
        <w:rPr>
          <w:rFonts w:ascii="宋体" w:eastAsia="宋体" w:hAnsi="宋体" w:hint="eastAsia"/>
          <w:sz w:val="21"/>
          <w:szCs w:val="21"/>
        </w:rPr>
        <w:t>copies/</w:t>
      </w:r>
      <w:r w:rsidRPr="005B4D1E">
        <w:rPr>
          <w:rFonts w:ascii="宋体" w:eastAsia="宋体" w:hAnsi="宋体"/>
          <w:sz w:val="21"/>
          <w:szCs w:val="21"/>
        </w:rPr>
        <w:t>µ</w:t>
      </w:r>
      <w:r w:rsidRPr="005B4D1E">
        <w:rPr>
          <w:rFonts w:ascii="宋体" w:eastAsia="宋体" w:hAnsi="宋体" w:hint="eastAsia"/>
          <w:sz w:val="21"/>
          <w:szCs w:val="21"/>
        </w:rPr>
        <w:t>L，p-E-ORFla为1.66</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9</w:t>
      </w:r>
      <w:r w:rsidRPr="005B4D1E">
        <w:rPr>
          <w:rFonts w:ascii="宋体" w:eastAsia="宋体" w:hAnsi="宋体" w:hint="eastAsia"/>
          <w:sz w:val="21"/>
          <w:szCs w:val="21"/>
        </w:rPr>
        <w:t>～1.66</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4</w:t>
      </w:r>
      <w:r w:rsidRPr="005B4D1E">
        <w:rPr>
          <w:rFonts w:ascii="宋体" w:eastAsia="宋体" w:hAnsi="宋体" w:hint="eastAsia"/>
          <w:sz w:val="21"/>
          <w:szCs w:val="21"/>
        </w:rPr>
        <w:t>copies/</w:t>
      </w:r>
      <w:r w:rsidRPr="005B4D1E">
        <w:rPr>
          <w:rFonts w:ascii="宋体" w:eastAsia="宋体" w:hAnsi="宋体"/>
          <w:sz w:val="21"/>
          <w:szCs w:val="21"/>
        </w:rPr>
        <w:t>µ</w:t>
      </w:r>
      <w:r w:rsidRPr="005B4D1E">
        <w:rPr>
          <w:rFonts w:ascii="宋体" w:eastAsia="宋体" w:hAnsi="宋体" w:hint="eastAsia"/>
          <w:sz w:val="21"/>
          <w:szCs w:val="21"/>
        </w:rPr>
        <w:t>L)，以此作为模板，根据优化的反应条件，在ABI Step one plus型PCR仪上扩增完成后，计算机软件自动生成标准曲线（图18）。起始模板浓度与Ct值呈现良好的线性关系，相关系数r</w:t>
      </w:r>
      <w:r w:rsidRPr="005B4D1E">
        <w:rPr>
          <w:rFonts w:ascii="宋体" w:eastAsia="宋体" w:hAnsi="宋体" w:hint="eastAsia"/>
          <w:sz w:val="21"/>
          <w:szCs w:val="21"/>
          <w:vertAlign w:val="superscript"/>
        </w:rPr>
        <w:t>2</w:t>
      </w:r>
      <w:r w:rsidRPr="005B4D1E">
        <w:rPr>
          <w:rFonts w:ascii="宋体" w:eastAsia="宋体" w:hAnsi="宋体" w:hint="eastAsia"/>
          <w:sz w:val="21"/>
          <w:szCs w:val="21"/>
        </w:rPr>
        <w:t>均达到0.998以上。</w:t>
      </w:r>
    </w:p>
    <w:p w:rsidR="009D14A5" w:rsidRPr="005B4D1E" w:rsidRDefault="009D14A5" w:rsidP="009D14A5">
      <w:pPr>
        <w:spacing w:line="360" w:lineRule="auto"/>
        <w:jc w:val="center"/>
        <w:rPr>
          <w:rFonts w:ascii="宋体" w:eastAsia="宋体" w:hAnsi="宋体"/>
          <w:sz w:val="21"/>
          <w:szCs w:val="21"/>
        </w:rPr>
      </w:pPr>
      <w:r w:rsidRPr="005B4D1E">
        <w:rPr>
          <w:rFonts w:ascii="宋体" w:eastAsia="宋体" w:hAnsi="宋体"/>
          <w:noProof/>
          <w:sz w:val="21"/>
          <w:szCs w:val="21"/>
        </w:rPr>
        <w:lastRenderedPageBreak/>
        <w:drawing>
          <wp:inline distT="0" distB="0" distL="0" distR="0">
            <wp:extent cx="3605530" cy="3286760"/>
            <wp:effectExtent l="19050" t="0" r="0" b="0"/>
            <wp:docPr id="2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1" cstate="print"/>
                    <a:srcRect/>
                    <a:stretch>
                      <a:fillRect/>
                    </a:stretch>
                  </pic:blipFill>
                  <pic:spPr bwMode="auto">
                    <a:xfrm>
                      <a:off x="0" y="0"/>
                      <a:ext cx="3605530" cy="3286760"/>
                    </a:xfrm>
                    <a:prstGeom prst="rect">
                      <a:avLst/>
                    </a:prstGeom>
                    <a:noFill/>
                    <a:ln w="9525">
                      <a:noFill/>
                      <a:miter lim="800000"/>
                      <a:headEnd/>
                      <a:tailEnd/>
                    </a:ln>
                  </pic:spPr>
                </pic:pic>
              </a:graphicData>
            </a:graphic>
          </wp:inline>
        </w:drawing>
      </w:r>
    </w:p>
    <w:p w:rsidR="009D14A5" w:rsidRPr="005B4D1E" w:rsidRDefault="009D14A5" w:rsidP="003B0360">
      <w:pPr>
        <w:pStyle w:val="a5"/>
        <w:spacing w:after="156"/>
      </w:pPr>
      <w:bookmarkStart w:id="27" w:name="_Toc405816322"/>
      <w:r w:rsidRPr="005B4D1E">
        <w:rPr>
          <w:rFonts w:hint="eastAsia"/>
        </w:rPr>
        <w:t>图</w:t>
      </w:r>
      <w:r w:rsidR="003B0360">
        <w:rPr>
          <w:rFonts w:hint="eastAsia"/>
        </w:rPr>
        <w:t xml:space="preserve">18 </w:t>
      </w:r>
      <w:r w:rsidRPr="005B4D1E">
        <w:rPr>
          <w:rFonts w:hint="eastAsia"/>
        </w:rPr>
        <w:t>多重</w:t>
      </w:r>
      <w:r w:rsidRPr="005B4D1E">
        <w:rPr>
          <w:rFonts w:hint="eastAsia"/>
        </w:rPr>
        <w:t>TaqMan real-time PCR</w:t>
      </w:r>
      <w:r w:rsidRPr="005B4D1E">
        <w:rPr>
          <w:rFonts w:hint="eastAsia"/>
        </w:rPr>
        <w:t>标准曲线</w:t>
      </w:r>
      <w:bookmarkEnd w:id="27"/>
    </w:p>
    <w:p w:rsidR="009D14A5" w:rsidRPr="005B4D1E" w:rsidRDefault="009D14A5" w:rsidP="009D14A5">
      <w:pPr>
        <w:spacing w:line="360" w:lineRule="auto"/>
        <w:rPr>
          <w:rFonts w:ascii="宋体" w:eastAsia="宋体" w:hAnsi="宋体"/>
          <w:b/>
          <w:bCs/>
          <w:sz w:val="21"/>
          <w:szCs w:val="21"/>
        </w:rPr>
      </w:pPr>
    </w:p>
    <w:p w:rsidR="009D14A5" w:rsidRPr="005B4D1E" w:rsidRDefault="009D14A5" w:rsidP="005B4D1E">
      <w:pPr>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多重real-time PCR敏感性试验：</w:t>
      </w:r>
      <w:r w:rsidRPr="005B4D1E">
        <w:rPr>
          <w:rFonts w:ascii="宋体" w:eastAsia="宋体" w:hAnsi="宋体" w:hint="eastAsia"/>
          <w:sz w:val="21"/>
          <w:szCs w:val="21"/>
        </w:rPr>
        <w:t>将三种质粒（p-C-Nsp2、p-V-Nsp2和p-E-ORFla）按比例混合，10倍系列稀释成为含有l</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 l</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0</w:t>
      </w:r>
      <w:r w:rsidRPr="005B4D1E">
        <w:rPr>
          <w:rFonts w:ascii="宋体" w:eastAsia="宋体" w:hAnsi="宋体" w:hint="eastAsia"/>
          <w:sz w:val="21"/>
          <w:szCs w:val="21"/>
        </w:rPr>
        <w:t>copies/</w:t>
      </w:r>
      <w:r w:rsidRPr="005B4D1E">
        <w:rPr>
          <w:rFonts w:ascii="宋体" w:eastAsia="宋体" w:hAnsi="宋体"/>
          <w:sz w:val="21"/>
          <w:szCs w:val="21"/>
        </w:rPr>
        <w:t>µ</w:t>
      </w:r>
      <w:r w:rsidRPr="005B4D1E">
        <w:rPr>
          <w:rFonts w:ascii="宋体" w:eastAsia="宋体" w:hAnsi="宋体" w:hint="eastAsia"/>
          <w:sz w:val="21"/>
          <w:szCs w:val="21"/>
        </w:rPr>
        <w:t>L的7个梯度，以此作为模板进行real-time PCR；将三种质粒分别进行10倍系列稀释成为含有1×l0</w:t>
      </w:r>
      <w:r w:rsidRPr="005B4D1E">
        <w:rPr>
          <w:rFonts w:ascii="宋体" w:eastAsia="宋体" w:hAnsi="宋体" w:hint="eastAsia"/>
          <w:sz w:val="21"/>
          <w:szCs w:val="21"/>
          <w:vertAlign w:val="superscript"/>
        </w:rPr>
        <w:t>9</w:t>
      </w:r>
      <w:r w:rsidRPr="005B4D1E">
        <w:rPr>
          <w:rFonts w:ascii="宋体" w:eastAsia="宋体" w:hAnsi="宋体" w:hint="eastAsia"/>
          <w:sz w:val="21"/>
          <w:szCs w:val="21"/>
        </w:rPr>
        <w:t>~1</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0</w:t>
      </w:r>
      <w:r w:rsidRPr="005B4D1E">
        <w:rPr>
          <w:rFonts w:ascii="宋体" w:eastAsia="宋体" w:hAnsi="宋体" w:hint="eastAsia"/>
          <w:sz w:val="21"/>
          <w:szCs w:val="21"/>
        </w:rPr>
        <w:t>copies/</w:t>
      </w:r>
      <w:r w:rsidRPr="005B4D1E">
        <w:rPr>
          <w:rFonts w:ascii="宋体" w:eastAsia="宋体" w:hAnsi="宋体"/>
          <w:sz w:val="21"/>
          <w:szCs w:val="21"/>
        </w:rPr>
        <w:t>µ</w:t>
      </w:r>
      <w:r w:rsidRPr="005B4D1E">
        <w:rPr>
          <w:rFonts w:ascii="宋体" w:eastAsia="宋体" w:hAnsi="宋体" w:hint="eastAsia"/>
          <w:sz w:val="21"/>
          <w:szCs w:val="21"/>
        </w:rPr>
        <w:t>L的10个梯度，进行普通PCR、电泳观察。结果，3种质粒标准品在多重real-time PCR中的检出下限均为1</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1</w:t>
      </w:r>
      <w:r w:rsidRPr="005B4D1E">
        <w:rPr>
          <w:rFonts w:ascii="宋体" w:eastAsia="宋体" w:hAnsi="宋体" w:hint="eastAsia"/>
          <w:sz w:val="21"/>
          <w:szCs w:val="21"/>
        </w:rPr>
        <w:t>copies/</w:t>
      </w:r>
      <w:r w:rsidRPr="005B4D1E">
        <w:rPr>
          <w:rFonts w:ascii="宋体" w:eastAsia="宋体" w:hAnsi="宋体"/>
          <w:sz w:val="21"/>
          <w:szCs w:val="21"/>
        </w:rPr>
        <w:t>µ</w:t>
      </w:r>
      <w:r w:rsidRPr="005B4D1E">
        <w:rPr>
          <w:rFonts w:ascii="宋体" w:eastAsia="宋体" w:hAnsi="宋体" w:hint="eastAsia"/>
          <w:sz w:val="21"/>
          <w:szCs w:val="21"/>
        </w:rPr>
        <w:t>L（图19）、在普通PCR中的检出下限均为1×l0</w:t>
      </w:r>
      <w:r w:rsidRPr="005B4D1E">
        <w:rPr>
          <w:rFonts w:ascii="宋体" w:eastAsia="宋体" w:hAnsi="宋体" w:hint="eastAsia"/>
          <w:sz w:val="21"/>
          <w:szCs w:val="21"/>
          <w:vertAlign w:val="superscript"/>
        </w:rPr>
        <w:t>3</w:t>
      </w:r>
      <w:r w:rsidRPr="005B4D1E">
        <w:rPr>
          <w:rFonts w:ascii="宋体" w:eastAsia="宋体" w:hAnsi="宋体" w:hint="eastAsia"/>
          <w:sz w:val="21"/>
          <w:szCs w:val="21"/>
        </w:rPr>
        <w:t>copies/</w:t>
      </w:r>
      <w:r w:rsidRPr="005B4D1E">
        <w:rPr>
          <w:rFonts w:ascii="宋体" w:eastAsia="宋体" w:hAnsi="宋体"/>
          <w:sz w:val="21"/>
          <w:szCs w:val="21"/>
        </w:rPr>
        <w:t>µ</w:t>
      </w:r>
      <w:r w:rsidRPr="005B4D1E">
        <w:rPr>
          <w:rFonts w:ascii="宋体" w:eastAsia="宋体" w:hAnsi="宋体" w:hint="eastAsia"/>
          <w:sz w:val="21"/>
          <w:szCs w:val="21"/>
        </w:rPr>
        <w:t>L（图20），表明多重real-time PCR比普通PCR敏感100倍。</w:t>
      </w:r>
    </w:p>
    <w:p w:rsidR="009D14A5" w:rsidRPr="005B4D1E" w:rsidRDefault="009D14A5" w:rsidP="005B4D1E">
      <w:pPr>
        <w:spacing w:line="360" w:lineRule="auto"/>
        <w:ind w:firstLineChars="200" w:firstLine="420"/>
        <w:jc w:val="center"/>
        <w:rPr>
          <w:rFonts w:ascii="宋体" w:eastAsia="宋体" w:hAnsi="宋体"/>
          <w:sz w:val="21"/>
          <w:szCs w:val="21"/>
        </w:rPr>
      </w:pPr>
      <w:r w:rsidRPr="005B4D1E">
        <w:rPr>
          <w:rFonts w:ascii="宋体" w:eastAsia="宋体" w:hAnsi="宋体"/>
          <w:noProof/>
          <w:sz w:val="21"/>
          <w:szCs w:val="21"/>
        </w:rPr>
        <w:drawing>
          <wp:inline distT="0" distB="0" distL="0" distR="0">
            <wp:extent cx="3226435" cy="2415540"/>
            <wp:effectExtent l="19050" t="0" r="0" b="0"/>
            <wp:docPr id="2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2" cstate="print"/>
                    <a:srcRect/>
                    <a:stretch>
                      <a:fillRect/>
                    </a:stretch>
                  </pic:blipFill>
                  <pic:spPr bwMode="auto">
                    <a:xfrm>
                      <a:off x="0" y="0"/>
                      <a:ext cx="3226435" cy="2415540"/>
                    </a:xfrm>
                    <a:prstGeom prst="rect">
                      <a:avLst/>
                    </a:prstGeom>
                    <a:noFill/>
                    <a:ln w="9525">
                      <a:noFill/>
                      <a:miter lim="800000"/>
                      <a:headEnd/>
                      <a:tailEnd/>
                    </a:ln>
                  </pic:spPr>
                </pic:pic>
              </a:graphicData>
            </a:graphic>
          </wp:inline>
        </w:drawing>
      </w:r>
    </w:p>
    <w:p w:rsidR="009D14A5" w:rsidRPr="005B4D1E" w:rsidRDefault="009D14A5" w:rsidP="003B0360">
      <w:pPr>
        <w:pStyle w:val="a5"/>
        <w:spacing w:after="156"/>
      </w:pPr>
      <w:bookmarkStart w:id="28" w:name="_Toc405816323"/>
      <w:r w:rsidRPr="005B4D1E">
        <w:rPr>
          <w:rFonts w:hint="eastAsia"/>
        </w:rPr>
        <w:t>图</w:t>
      </w:r>
      <w:r w:rsidR="003B0360">
        <w:rPr>
          <w:rFonts w:hint="eastAsia"/>
        </w:rPr>
        <w:t xml:space="preserve">19 </w:t>
      </w:r>
      <w:r w:rsidRPr="005B4D1E">
        <w:rPr>
          <w:rFonts w:hint="eastAsia"/>
        </w:rPr>
        <w:t>多重</w:t>
      </w:r>
      <w:r w:rsidRPr="005B4D1E">
        <w:rPr>
          <w:rFonts w:hint="eastAsia"/>
        </w:rPr>
        <w:t>TaqMan real-time PCR</w:t>
      </w:r>
      <w:r w:rsidRPr="005B4D1E">
        <w:rPr>
          <w:rFonts w:hint="eastAsia"/>
        </w:rPr>
        <w:t>敏感性试验的扩增曲线</w:t>
      </w:r>
      <w:bookmarkEnd w:id="28"/>
    </w:p>
    <w:p w:rsidR="009D14A5" w:rsidRPr="005B4D1E" w:rsidRDefault="009D14A5" w:rsidP="009D14A5">
      <w:pPr>
        <w:spacing w:line="360" w:lineRule="auto"/>
        <w:rPr>
          <w:rFonts w:ascii="宋体" w:eastAsia="宋体" w:hAnsi="宋体"/>
          <w:sz w:val="21"/>
          <w:szCs w:val="21"/>
        </w:rPr>
      </w:pPr>
      <w:r w:rsidRPr="005B4D1E">
        <w:rPr>
          <w:rFonts w:ascii="宋体" w:eastAsia="宋体" w:hAnsi="宋体"/>
          <w:noProof/>
          <w:sz w:val="21"/>
          <w:szCs w:val="21"/>
        </w:rPr>
        <w:lastRenderedPageBreak/>
        <w:drawing>
          <wp:inline distT="0" distB="0" distL="0" distR="0">
            <wp:extent cx="5270500" cy="1371600"/>
            <wp:effectExtent l="19050" t="0" r="6350" b="0"/>
            <wp:docPr id="2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3" cstate="print"/>
                    <a:srcRect/>
                    <a:stretch>
                      <a:fillRect/>
                    </a:stretch>
                  </pic:blipFill>
                  <pic:spPr bwMode="auto">
                    <a:xfrm>
                      <a:off x="0" y="0"/>
                      <a:ext cx="5270500" cy="1371600"/>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M.DNA标准DL2000；1-10：l</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9</w:t>
      </w:r>
      <w:r w:rsidRPr="005B4D1E">
        <w:rPr>
          <w:rFonts w:ascii="宋体" w:eastAsia="宋体" w:hAnsi="宋体" w:hint="eastAsia"/>
          <w:sz w:val="21"/>
          <w:szCs w:val="21"/>
        </w:rPr>
        <w:t>-l</w:t>
      </w:r>
      <w:r w:rsidRPr="005B4D1E">
        <w:rPr>
          <w:rFonts w:ascii="宋体" w:eastAsia="宋体" w:hAnsi="宋体" w:cs="Arial"/>
          <w:sz w:val="21"/>
          <w:szCs w:val="21"/>
        </w:rPr>
        <w:t>×</w:t>
      </w:r>
      <w:r w:rsidRPr="005B4D1E">
        <w:rPr>
          <w:rFonts w:ascii="宋体" w:eastAsia="宋体" w:hAnsi="宋体" w:cs="Arial" w:hint="eastAsia"/>
          <w:sz w:val="21"/>
          <w:szCs w:val="21"/>
        </w:rPr>
        <w:t>10</w:t>
      </w:r>
      <w:r w:rsidRPr="005B4D1E">
        <w:rPr>
          <w:rFonts w:ascii="宋体" w:eastAsia="宋体" w:hAnsi="宋体" w:cs="Arial" w:hint="eastAsia"/>
          <w:sz w:val="21"/>
          <w:szCs w:val="21"/>
          <w:vertAlign w:val="superscript"/>
        </w:rPr>
        <w:t>0</w:t>
      </w:r>
      <w:r w:rsidRPr="005B4D1E">
        <w:rPr>
          <w:rFonts w:ascii="宋体" w:eastAsia="宋体" w:hAnsi="宋体" w:hint="eastAsia"/>
          <w:sz w:val="21"/>
          <w:szCs w:val="21"/>
        </w:rPr>
        <w:t>copies/</w:t>
      </w:r>
      <w:r w:rsidRPr="005B4D1E">
        <w:rPr>
          <w:rFonts w:ascii="宋体" w:eastAsia="宋体" w:hAnsi="宋体"/>
          <w:sz w:val="21"/>
          <w:szCs w:val="21"/>
        </w:rPr>
        <w:t>µ</w:t>
      </w:r>
      <w:r w:rsidRPr="005B4D1E">
        <w:rPr>
          <w:rFonts w:ascii="宋体" w:eastAsia="宋体" w:hAnsi="宋体" w:hint="eastAsia"/>
          <w:sz w:val="21"/>
          <w:szCs w:val="21"/>
        </w:rPr>
        <w:t>L；10：阴性对照</w:t>
      </w:r>
    </w:p>
    <w:p w:rsidR="009D14A5" w:rsidRPr="005B4D1E" w:rsidRDefault="009D14A5" w:rsidP="003B0360">
      <w:pPr>
        <w:pStyle w:val="a5"/>
        <w:spacing w:after="156"/>
      </w:pPr>
      <w:bookmarkStart w:id="29" w:name="_Toc405816324"/>
      <w:r w:rsidRPr="005B4D1E">
        <w:rPr>
          <w:rFonts w:hint="eastAsia"/>
        </w:rPr>
        <w:t>图</w:t>
      </w:r>
      <w:r w:rsidR="003B0360">
        <w:rPr>
          <w:rFonts w:hint="eastAsia"/>
        </w:rPr>
        <w:t xml:space="preserve">20 </w:t>
      </w:r>
      <w:r w:rsidRPr="005B4D1E">
        <w:rPr>
          <w:rFonts w:hint="eastAsia"/>
        </w:rPr>
        <w:t>普通</w:t>
      </w:r>
      <w:r w:rsidRPr="005B4D1E">
        <w:rPr>
          <w:rFonts w:hint="eastAsia"/>
        </w:rPr>
        <w:t>PCR</w:t>
      </w:r>
      <w:r w:rsidRPr="005B4D1E">
        <w:rPr>
          <w:rFonts w:hint="eastAsia"/>
        </w:rPr>
        <w:t>的敏感性试验</w:t>
      </w:r>
      <w:bookmarkEnd w:id="29"/>
    </w:p>
    <w:p w:rsidR="009D14A5" w:rsidRPr="005B4D1E" w:rsidRDefault="009D14A5" w:rsidP="009D14A5">
      <w:pPr>
        <w:spacing w:line="360" w:lineRule="auto"/>
        <w:rPr>
          <w:rFonts w:ascii="宋体" w:eastAsia="宋体" w:hAnsi="宋体"/>
          <w:b/>
          <w:bCs/>
          <w:sz w:val="21"/>
          <w:szCs w:val="21"/>
        </w:rPr>
      </w:pPr>
    </w:p>
    <w:p w:rsidR="009D14A5" w:rsidRPr="005B4D1E" w:rsidRDefault="009D14A5" w:rsidP="005B4D1E">
      <w:pPr>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多重real-time PCR特异性试验：</w:t>
      </w:r>
      <w:r w:rsidRPr="005B4D1E">
        <w:rPr>
          <w:rFonts w:ascii="宋体" w:eastAsia="宋体" w:hAnsi="宋体" w:hint="eastAsia"/>
          <w:sz w:val="21"/>
          <w:szCs w:val="21"/>
        </w:rPr>
        <w:t>分别将PRRSV美洲型经典株、变异株cDNA及欧洲株质粒单独或混合物作为模板，按优化条件进行多重real-time PCR，每个检测孔均同时收集3种荧光信号；以FMDV、CSFV、PRV，PPV、PCV2的cDNA或DNA为模板，进行多重real-timePCR，以检测该方法的特异性。结果，只有以PRRSV的cDNA及质粒为模板时检测到荧光信号、获得相应扩增曲线，而其它猪源病毒均为阴性，无交叉反应，表明该方法具有很强的特异性（图21）。</w:t>
      </w:r>
    </w:p>
    <w:p w:rsidR="009D14A5" w:rsidRPr="005B4D1E" w:rsidRDefault="009D14A5" w:rsidP="009D14A5">
      <w:pPr>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4399280" cy="3303905"/>
            <wp:effectExtent l="19050" t="0" r="1270" b="0"/>
            <wp:docPr id="2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4" cstate="print"/>
                    <a:srcRect/>
                    <a:stretch>
                      <a:fillRect/>
                    </a:stretch>
                  </pic:blipFill>
                  <pic:spPr bwMode="auto">
                    <a:xfrm>
                      <a:off x="0" y="0"/>
                      <a:ext cx="4399280" cy="3303905"/>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1：质粒标准品；2：cDNA；3：灭菌双蒸水；4：FMDV；5：CSFV；6：PRV；7：PPV；8：PCV2</w:t>
      </w:r>
    </w:p>
    <w:p w:rsidR="009D14A5" w:rsidRPr="005B4D1E" w:rsidRDefault="009D14A5" w:rsidP="003B0360">
      <w:pPr>
        <w:pStyle w:val="a5"/>
        <w:spacing w:after="156"/>
      </w:pPr>
      <w:bookmarkStart w:id="30" w:name="_Toc405816325"/>
      <w:r w:rsidRPr="005B4D1E">
        <w:rPr>
          <w:rFonts w:hint="eastAsia"/>
        </w:rPr>
        <w:t>图</w:t>
      </w:r>
      <w:r w:rsidRPr="005B4D1E">
        <w:rPr>
          <w:rFonts w:hint="eastAsia"/>
        </w:rPr>
        <w:t>21</w:t>
      </w:r>
      <w:r w:rsidR="003B0360">
        <w:rPr>
          <w:rFonts w:hint="eastAsia"/>
        </w:rPr>
        <w:t xml:space="preserve"> </w:t>
      </w:r>
      <w:r w:rsidRPr="005B4D1E">
        <w:rPr>
          <w:rFonts w:hint="eastAsia"/>
        </w:rPr>
        <w:t>多重</w:t>
      </w:r>
      <w:r w:rsidRPr="005B4D1E">
        <w:rPr>
          <w:rFonts w:hint="eastAsia"/>
        </w:rPr>
        <w:t>TaqMan real-time PCR</w:t>
      </w:r>
      <w:r w:rsidRPr="005B4D1E">
        <w:rPr>
          <w:rFonts w:hint="eastAsia"/>
        </w:rPr>
        <w:t>特异性试验扩增曲线</w:t>
      </w:r>
      <w:bookmarkEnd w:id="30"/>
    </w:p>
    <w:p w:rsidR="009D14A5" w:rsidRPr="005B4D1E" w:rsidRDefault="009D14A5" w:rsidP="009D14A5">
      <w:pPr>
        <w:spacing w:line="360" w:lineRule="auto"/>
        <w:rPr>
          <w:rFonts w:ascii="宋体" w:eastAsia="宋体" w:hAnsi="宋体"/>
          <w:b/>
          <w:bCs/>
          <w:sz w:val="21"/>
          <w:szCs w:val="21"/>
        </w:rPr>
      </w:pPr>
    </w:p>
    <w:p w:rsidR="009D14A5" w:rsidRPr="005B4D1E" w:rsidRDefault="009D14A5" w:rsidP="005B4D1E">
      <w:pPr>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lastRenderedPageBreak/>
        <w:t>多重real-time PCR重复性试验：</w:t>
      </w:r>
      <w:r w:rsidRPr="005B4D1E">
        <w:rPr>
          <w:rFonts w:ascii="宋体" w:eastAsia="宋体" w:hAnsi="宋体" w:hint="eastAsia"/>
          <w:sz w:val="21"/>
          <w:szCs w:val="21"/>
        </w:rPr>
        <w:t>将三种质粒（p-C-Nsp2、p-V-Nsp2和p-E-ORFla）按比例混合，10倍系列稀释成为含有l</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9</w:t>
      </w:r>
      <w:r w:rsidRPr="005B4D1E">
        <w:rPr>
          <w:rFonts w:ascii="宋体" w:eastAsia="宋体" w:hAnsi="宋体" w:hint="eastAsia"/>
          <w:sz w:val="21"/>
          <w:szCs w:val="21"/>
        </w:rPr>
        <w:t>copies/</w:t>
      </w:r>
      <w:r w:rsidRPr="005B4D1E">
        <w:rPr>
          <w:rFonts w:ascii="宋体" w:eastAsia="宋体" w:hAnsi="宋体"/>
          <w:sz w:val="21"/>
          <w:szCs w:val="21"/>
        </w:rPr>
        <w:t>µ</w:t>
      </w:r>
      <w:r w:rsidRPr="005B4D1E">
        <w:rPr>
          <w:rFonts w:ascii="宋体" w:eastAsia="宋体" w:hAnsi="宋体" w:hint="eastAsia"/>
          <w:sz w:val="21"/>
          <w:szCs w:val="21"/>
        </w:rPr>
        <w:t>L、l</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7</w:t>
      </w:r>
      <w:r w:rsidRPr="005B4D1E">
        <w:rPr>
          <w:rFonts w:ascii="宋体" w:eastAsia="宋体" w:hAnsi="宋体" w:hint="eastAsia"/>
          <w:sz w:val="21"/>
          <w:szCs w:val="21"/>
        </w:rPr>
        <w:t>copies/</w:t>
      </w:r>
      <w:r w:rsidRPr="005B4D1E">
        <w:rPr>
          <w:rFonts w:ascii="宋体" w:eastAsia="宋体" w:hAnsi="宋体"/>
          <w:sz w:val="21"/>
          <w:szCs w:val="21"/>
        </w:rPr>
        <w:t>µ</w:t>
      </w:r>
      <w:r w:rsidRPr="005B4D1E">
        <w:rPr>
          <w:rFonts w:ascii="宋体" w:eastAsia="宋体" w:hAnsi="宋体" w:hint="eastAsia"/>
          <w:sz w:val="21"/>
          <w:szCs w:val="21"/>
        </w:rPr>
        <w:t>L、l</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5</w:t>
      </w:r>
      <w:r w:rsidRPr="005B4D1E">
        <w:rPr>
          <w:rFonts w:ascii="宋体" w:eastAsia="宋体" w:hAnsi="宋体" w:hint="eastAsia"/>
          <w:sz w:val="21"/>
          <w:szCs w:val="21"/>
        </w:rPr>
        <w:t>copies/</w:t>
      </w:r>
      <w:r w:rsidRPr="005B4D1E">
        <w:rPr>
          <w:rFonts w:ascii="宋体" w:eastAsia="宋体" w:hAnsi="宋体"/>
          <w:sz w:val="21"/>
          <w:szCs w:val="21"/>
        </w:rPr>
        <w:t>µ</w:t>
      </w:r>
      <w:r w:rsidRPr="005B4D1E">
        <w:rPr>
          <w:rFonts w:ascii="宋体" w:eastAsia="宋体" w:hAnsi="宋体" w:hint="eastAsia"/>
          <w:sz w:val="21"/>
          <w:szCs w:val="21"/>
        </w:rPr>
        <w:t>L的3个梯度，进行组内及组间重复性试验。根据获得的C</w:t>
      </w:r>
      <w:r w:rsidRPr="005B4D1E">
        <w:rPr>
          <w:rFonts w:ascii="宋体" w:eastAsia="宋体" w:hAnsi="宋体" w:hint="eastAsia"/>
          <w:sz w:val="21"/>
          <w:szCs w:val="21"/>
          <w:vertAlign w:val="subscript"/>
        </w:rPr>
        <w:t>t</w:t>
      </w:r>
      <w:r w:rsidRPr="005B4D1E">
        <w:rPr>
          <w:rFonts w:ascii="宋体" w:eastAsia="宋体" w:hAnsi="宋体" w:hint="eastAsia"/>
          <w:sz w:val="21"/>
          <w:szCs w:val="21"/>
        </w:rPr>
        <w:t>值计算变异系数。结果，组内及组间的变异系数均小于2%（表4），表明该方法具有很好的重复性。</w:t>
      </w:r>
    </w:p>
    <w:p w:rsidR="009D14A5" w:rsidRPr="005B4D1E" w:rsidRDefault="009D14A5" w:rsidP="003B0360">
      <w:pPr>
        <w:pStyle w:val="a6"/>
        <w:spacing w:before="156"/>
      </w:pPr>
      <w:bookmarkStart w:id="31" w:name="_Toc405816411"/>
      <w:r w:rsidRPr="005B4D1E">
        <w:rPr>
          <w:rFonts w:hint="eastAsia"/>
        </w:rPr>
        <w:t>表</w:t>
      </w:r>
      <w:r w:rsidR="003B0360">
        <w:rPr>
          <w:rFonts w:hint="eastAsia"/>
        </w:rPr>
        <w:t xml:space="preserve">4 </w:t>
      </w:r>
      <w:r w:rsidRPr="005B4D1E">
        <w:rPr>
          <w:rFonts w:hint="eastAsia"/>
        </w:rPr>
        <w:t>多重</w:t>
      </w:r>
      <w:r w:rsidRPr="005B4D1E">
        <w:rPr>
          <w:rFonts w:hint="eastAsia"/>
        </w:rPr>
        <w:t>TaqMan real-time PCR</w:t>
      </w:r>
      <w:r w:rsidRPr="005B4D1E">
        <w:rPr>
          <w:rFonts w:hint="eastAsia"/>
        </w:rPr>
        <w:t>的重复性分析</w:t>
      </w:r>
      <w:bookmarkEnd w:id="31"/>
    </w:p>
    <w:p w:rsidR="009D14A5" w:rsidRPr="005B4D1E" w:rsidRDefault="009D14A5" w:rsidP="005B4D1E">
      <w:pPr>
        <w:spacing w:line="360" w:lineRule="auto"/>
        <w:ind w:firstLineChars="200" w:firstLine="420"/>
        <w:jc w:val="center"/>
        <w:rPr>
          <w:rFonts w:ascii="宋体" w:eastAsia="宋体" w:hAnsi="宋体"/>
          <w:sz w:val="21"/>
          <w:szCs w:val="21"/>
        </w:rPr>
      </w:pPr>
      <w:r w:rsidRPr="005B4D1E">
        <w:rPr>
          <w:rFonts w:ascii="宋体" w:eastAsia="宋体" w:hAnsi="宋体"/>
          <w:noProof/>
          <w:sz w:val="21"/>
          <w:szCs w:val="21"/>
        </w:rPr>
        <w:drawing>
          <wp:inline distT="0" distB="0" distL="0" distR="0">
            <wp:extent cx="4615180" cy="1958340"/>
            <wp:effectExtent l="19050" t="0" r="0" b="0"/>
            <wp:docPr id="2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5" cstate="print"/>
                    <a:srcRect/>
                    <a:stretch>
                      <a:fillRect/>
                    </a:stretch>
                  </pic:blipFill>
                  <pic:spPr bwMode="auto">
                    <a:xfrm>
                      <a:off x="0" y="0"/>
                      <a:ext cx="4615180" cy="1958340"/>
                    </a:xfrm>
                    <a:prstGeom prst="rect">
                      <a:avLst/>
                    </a:prstGeom>
                    <a:noFill/>
                    <a:ln w="9525">
                      <a:noFill/>
                      <a:miter lim="800000"/>
                      <a:headEnd/>
                      <a:tailEnd/>
                    </a:ln>
                  </pic:spPr>
                </pic:pic>
              </a:graphicData>
            </a:graphic>
          </wp:inline>
        </w:drawing>
      </w:r>
    </w:p>
    <w:p w:rsidR="009D14A5" w:rsidRPr="005B4D1E" w:rsidRDefault="009D14A5" w:rsidP="005B4D1E">
      <w:pPr>
        <w:spacing w:line="360" w:lineRule="auto"/>
        <w:ind w:firstLineChars="200" w:firstLine="420"/>
        <w:jc w:val="center"/>
        <w:rPr>
          <w:rFonts w:ascii="宋体" w:eastAsia="宋体" w:hAnsi="宋体"/>
          <w:sz w:val="21"/>
          <w:szCs w:val="21"/>
        </w:rPr>
      </w:pP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多重Real-time PCR的应用：</w:t>
      </w:r>
      <w:r w:rsidRPr="005B4D1E">
        <w:rPr>
          <w:rFonts w:ascii="宋体" w:eastAsia="宋体" w:hAnsi="宋体" w:hint="eastAsia"/>
          <w:sz w:val="21"/>
          <w:szCs w:val="21"/>
        </w:rPr>
        <w:t>采取临床PRRS疑似病料组织155份，应用MiniBEST Viral RNA/DNA Extraction Kit Ver.4.0试剂盒抽提病毒总RNA，按RNA PCR Kit (AMV) Ver.3.0试剂盒使用说明进行反转录获得cDNA。以cDNA为模板，应用所建立的多重real-time PCR对PRRSV进行检测。结果，PRRSV阳性47份，检出率为30.32%，其中，美洲型经典毒株5份、变异毒株42份；未检测到欧洲型毒株，也未检测到混合感染的情况。随机选取上述阳性样品各5份，回收PCR产物、克隆、测序，证实分别为美洲型经典毒株、变异毒株。</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小结：根据PRRSV美洲型变异毒株、经典毒株以及欧洲型毒株的序列差异，针对美洲型毒株Nsp2基因及欧洲型毒株ORFla编码区，设计合成了2对特异性鉴别引物和3条TaqMan探针，即第1对通用引物扩增美洲型经典毒株、变异毒株对应于变异毒株Nsp2缺失区域195/108bp，利用2条探针加以区分；第2对引物和第3条探针扩增和检测欧洲型毒株ORFla基因110bp片段。经过反应条件的优化，建立了能同时检测PRRSV美洲型经典株、PRRSV美洲型变异毒株和PRRSV欧洲型毒株的多重荧光定量RT-PCR方法。该方法线性关系好，以重组质粒标准品构建的标准曲线的相关系数都达到0.998以上；敏感性高，检测下限为10copies/</w:t>
      </w:r>
      <w:r w:rsidRPr="005B4D1E">
        <w:rPr>
          <w:rFonts w:ascii="宋体" w:eastAsia="宋体" w:hAnsi="宋体"/>
          <w:sz w:val="21"/>
          <w:szCs w:val="21"/>
        </w:rPr>
        <w:t>µ</w:t>
      </w:r>
      <w:r w:rsidRPr="005B4D1E">
        <w:rPr>
          <w:rFonts w:ascii="宋体" w:eastAsia="宋体" w:hAnsi="宋体" w:hint="eastAsia"/>
          <w:sz w:val="21"/>
          <w:szCs w:val="21"/>
        </w:rPr>
        <w:t>l，比普通RT-PCR敏感100倍；组内及组间变异系数(CV)均小于2%，具有较好的重复性；特异性强，只有PRRSV呈阳性，而与FMDV、CSFV、PRV、PPV均无交叉反应。应用该法对155份疑似PPRRS临床样品进行检测，检出阳性样品47份，阳性率为30.32%。表明，本研究建立的多重TaqMan荧光定量RT-PCR检测方法可为PRRSV的快速鉴别诊断及流行病学调查提供有效的技术手段。</w:t>
      </w:r>
    </w:p>
    <w:p w:rsidR="009D14A5" w:rsidRPr="005B4D1E" w:rsidRDefault="009D14A5" w:rsidP="005B4D1E">
      <w:pPr>
        <w:pStyle w:val="1"/>
      </w:pPr>
      <w:bookmarkStart w:id="32" w:name="_Toc405816270"/>
      <w:r w:rsidRPr="005B4D1E">
        <w:rPr>
          <w:rFonts w:hint="eastAsia"/>
        </w:rPr>
        <w:lastRenderedPageBreak/>
        <w:t>两项</w:t>
      </w:r>
      <w:r w:rsidRPr="005B4D1E">
        <w:rPr>
          <w:rFonts w:hint="eastAsia"/>
        </w:rPr>
        <w:t>HP-PRRSV</w:t>
      </w:r>
      <w:r w:rsidRPr="005B4D1E">
        <w:rPr>
          <w:rFonts w:hint="eastAsia"/>
        </w:rPr>
        <w:t>快速检测方法的广西地方标准</w:t>
      </w:r>
      <w:r w:rsidR="00EC0434">
        <w:rPr>
          <w:rFonts w:hint="eastAsia"/>
        </w:rPr>
        <w:t>的制定</w:t>
      </w:r>
      <w:bookmarkEnd w:id="32"/>
    </w:p>
    <w:p w:rsidR="005B4D1E" w:rsidRDefault="009D14A5" w:rsidP="005B4D1E">
      <w:pPr>
        <w:pStyle w:val="2"/>
      </w:pPr>
      <w:bookmarkStart w:id="33" w:name="_Toc405816271"/>
      <w:r w:rsidRPr="005B4D1E">
        <w:rPr>
          <w:rFonts w:hint="eastAsia"/>
        </w:rPr>
        <w:t>广西地方标准“猪繁殖与呼吸综合征病毒和猪瘟病毒的检测</w:t>
      </w:r>
      <w:r w:rsidR="005B4D1E">
        <w:rPr>
          <w:rFonts w:hint="eastAsia"/>
        </w:rPr>
        <w:t>的制定</w:t>
      </w:r>
      <w:bookmarkEnd w:id="33"/>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w:t>
      </w:r>
      <w:r w:rsidR="005B4D1E">
        <w:rPr>
          <w:rFonts w:ascii="宋体" w:eastAsia="宋体" w:hAnsi="宋体" w:hint="eastAsia"/>
          <w:sz w:val="21"/>
          <w:szCs w:val="21"/>
        </w:rPr>
        <w:t xml:space="preserve">  </w:t>
      </w:r>
      <w:r w:rsidRPr="005B4D1E">
        <w:rPr>
          <w:rFonts w:ascii="宋体" w:eastAsia="宋体" w:hAnsi="宋体" w:hint="eastAsia"/>
          <w:sz w:val="21"/>
          <w:szCs w:val="21"/>
        </w:rPr>
        <w:t>多重反转录聚合酶链反应</w:t>
      </w:r>
      <w:r w:rsidR="005B4D1E">
        <w:rPr>
          <w:rFonts w:ascii="宋体" w:eastAsia="宋体" w:hAnsi="宋体" w:hint="eastAsia"/>
          <w:sz w:val="21"/>
          <w:szCs w:val="21"/>
        </w:rPr>
        <w:t>(</w:t>
      </w:r>
      <w:r w:rsidRPr="005B4D1E">
        <w:rPr>
          <w:rFonts w:ascii="宋体" w:eastAsia="宋体" w:hAnsi="宋体" w:hint="eastAsia"/>
          <w:sz w:val="21"/>
          <w:szCs w:val="21"/>
        </w:rPr>
        <w:t>RT-PCR)法”</w:t>
      </w:r>
      <w:r w:rsidR="005B4D1E">
        <w:rPr>
          <w:rFonts w:ascii="宋体" w:eastAsia="宋体" w:hAnsi="宋体" w:hint="eastAsia"/>
          <w:sz w:val="21"/>
          <w:szCs w:val="21"/>
        </w:rPr>
        <w:t>：</w:t>
      </w:r>
      <w:r w:rsidRPr="005B4D1E">
        <w:rPr>
          <w:rFonts w:ascii="宋体" w:eastAsia="宋体" w:hAnsi="宋体" w:hint="eastAsia"/>
          <w:sz w:val="21"/>
          <w:szCs w:val="21"/>
        </w:rPr>
        <w:t>PRRSV可以引起以母猪繁殖障碍及各种年龄猪特别是仔猪呼吸道疾病为主要特征的猪繁殖与呼吸综合征(PRRS)。PRRSV属于套式病毒目动脉炎病毒科动脉炎病毒属的成员，分为两个基因型，即以VR-2332株为代表的美洲型和以Lelystad virus(LV)为代表的欧洲型，两者基因组核苷酸序列的同源性仅为60%左右。我国最早于1996年分离到美洲型PRRSV，2006年分离到HP-PRRSV，2010年分离到致病性欧洲型PRRSV，目前在中国流行的PRRSV以美洲型毒株为主。猪瘟(Classical swine fever，CSF)是由黄病毒科瘟病毒属的猪瘟病毒(Classical swine fever virus，CSFV)引起猪的一种高度接触性急性传染病，以高稽留热、出血、梗死、坏死和高死亡率为主要特征。长期以来，我国使用C株弱毒疫苗进行免疫，使猪瘟得到了有效控制，但由于疫苗质量不稳定、免疫程序不合理、防疫措施不当等原因，猪瘟仍时有发生。近年来，PRRSV和CSFV是我国猪群中2种非常重要的病原，给我国养猪业造成了巨大的经济损失。</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PRRS和CSF均为我国一类动物传染病，两者在临床症状和病理变化上不易区分。同时，两者在临床上的混合感染、继发感染也比较常见。而且，两者与伪狂犬病病毒(PRV)、猪细小病毒(PPV)等重要病原所致的某些症状也难以区分。因此，制定PRRSV和CSFV的快速鉴别诊断技术规程，为正确处置和防控这两种疫病，确保我区畜牧业持续、稳定和健康发展具有重要意义。当前，单重RT-PCR检测方法已作为CSFV和PRRSV检测的国家标准。应用多重RT-PCR方法同时检测PRRSV和CSFV的文献国内外均有报道，但没有归纳总结形成地方标准、行业标准或国家标准。本</w:t>
      </w:r>
      <w:r w:rsidR="00EC0434">
        <w:rPr>
          <w:rFonts w:ascii="宋体" w:eastAsia="宋体" w:hAnsi="宋体" w:hint="eastAsia"/>
          <w:sz w:val="21"/>
          <w:szCs w:val="21"/>
        </w:rPr>
        <w:t>研究</w:t>
      </w:r>
      <w:r w:rsidRPr="005B4D1E">
        <w:rPr>
          <w:rFonts w:ascii="宋体" w:eastAsia="宋体" w:hAnsi="宋体" w:hint="eastAsia"/>
          <w:sz w:val="21"/>
          <w:szCs w:val="21"/>
        </w:rPr>
        <w:t>组根据我区重大动物疫病监测、检测的需要，建立了能够同时检测和区分美洲型PRRSV、欧洲型PRRSV和CSFV的多重RT-PCR检测方法，并用于临床检测，效果显著。该方法经实验室验证及临床反复应用，证明具有快速、准确、特异、敏感、高通量、无污染等优点，因此向广西质量技术监督局申请将该法作为广西地方标准进行立项。根据自治区质量技术监督局《关于下达2011年第十二批广西地方标准制定（修订）</w:t>
      </w:r>
      <w:r w:rsidR="00EC0434">
        <w:rPr>
          <w:rFonts w:ascii="宋体" w:eastAsia="宋体" w:hAnsi="宋体" w:hint="eastAsia"/>
          <w:sz w:val="21"/>
          <w:szCs w:val="21"/>
        </w:rPr>
        <w:t>研究</w:t>
      </w:r>
      <w:r w:rsidRPr="005B4D1E">
        <w:rPr>
          <w:rFonts w:ascii="宋体" w:eastAsia="宋体" w:hAnsi="宋体" w:hint="eastAsia"/>
          <w:sz w:val="21"/>
          <w:szCs w:val="21"/>
        </w:rPr>
        <w:t>计划的通知》（桂质监函[2011]884号），同意本</w:t>
      </w:r>
      <w:r w:rsidR="00EC0434">
        <w:rPr>
          <w:rFonts w:ascii="宋体" w:eastAsia="宋体" w:hAnsi="宋体" w:hint="eastAsia"/>
          <w:sz w:val="21"/>
          <w:szCs w:val="21"/>
        </w:rPr>
        <w:t>研究</w:t>
      </w:r>
      <w:r w:rsidRPr="005B4D1E">
        <w:rPr>
          <w:rFonts w:ascii="宋体" w:eastAsia="宋体" w:hAnsi="宋体" w:hint="eastAsia"/>
          <w:sz w:val="21"/>
          <w:szCs w:val="21"/>
        </w:rPr>
        <w:t>组承担广西地方标准“猪繁殖与呼吸综合征病毒和猪瘟病毒的检测  多重反转录聚合酶链反应(RT-PCR)法”的制定工作，</w:t>
      </w:r>
      <w:r w:rsidR="00EC0434">
        <w:rPr>
          <w:rFonts w:ascii="宋体" w:eastAsia="宋体" w:hAnsi="宋体" w:hint="eastAsia"/>
          <w:sz w:val="21"/>
          <w:szCs w:val="21"/>
        </w:rPr>
        <w:t>研究</w:t>
      </w:r>
      <w:r w:rsidRPr="005B4D1E">
        <w:rPr>
          <w:rFonts w:ascii="宋体" w:eastAsia="宋体" w:hAnsi="宋体" w:hint="eastAsia"/>
          <w:sz w:val="21"/>
          <w:szCs w:val="21"/>
        </w:rPr>
        <w:t>编号为2011-12005。</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2011年10月获得立项后，本</w:t>
      </w:r>
      <w:r w:rsidR="00EC0434">
        <w:rPr>
          <w:rFonts w:ascii="宋体" w:eastAsia="宋体" w:hAnsi="宋体" w:hint="eastAsia"/>
          <w:sz w:val="21"/>
          <w:szCs w:val="21"/>
        </w:rPr>
        <w:t>研究</w:t>
      </w:r>
      <w:r w:rsidRPr="005B4D1E">
        <w:rPr>
          <w:rFonts w:ascii="宋体" w:eastAsia="宋体" w:hAnsi="宋体" w:hint="eastAsia"/>
          <w:sz w:val="21"/>
          <w:szCs w:val="21"/>
        </w:rPr>
        <w:t>组严格按照GB/T 1.1-2009《标准化工作导则  第一部分：标准的结构和编写规则》的要求，制定了检测美洲型PRRSV、欧洲型PRRSV和CSFV的推荐性地方标准，内容涵盖应用多重RT-PCR方法检测美洲型PRRSV、欧洲型PRRSV和CSFV的材料准备、操作方法及结果判定等。按照标准起草编写方案及时间进度表，评审稿现已完成广西质量技术监督局组织召开的专家评审会，正等待审批、发布实施。</w:t>
      </w:r>
    </w:p>
    <w:p w:rsidR="009D14A5" w:rsidRPr="005B4D1E" w:rsidRDefault="009D14A5" w:rsidP="00206742">
      <w:pPr>
        <w:pStyle w:val="2"/>
      </w:pPr>
      <w:bookmarkStart w:id="34" w:name="_Toc405816272"/>
      <w:r w:rsidRPr="005B4D1E">
        <w:rPr>
          <w:rFonts w:hint="eastAsia"/>
        </w:rPr>
        <w:lastRenderedPageBreak/>
        <w:t>广西地方标准“美洲型及欧洲型猪繁殖与呼吸综合征病毒的检测”</w:t>
      </w:r>
      <w:r w:rsidR="00206742">
        <w:rPr>
          <w:rFonts w:hint="eastAsia"/>
        </w:rPr>
        <w:t>的制定</w:t>
      </w:r>
      <w:bookmarkEnd w:id="34"/>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w:t>
      </w:r>
      <w:r w:rsidR="00206742" w:rsidRPr="005B4D1E">
        <w:rPr>
          <w:rFonts w:ascii="宋体" w:eastAsia="宋体" w:hAnsi="宋体" w:hint="eastAsia"/>
          <w:sz w:val="21"/>
          <w:szCs w:val="21"/>
        </w:rPr>
        <w:t>多重荧光定量反转录聚合酶链反应法</w:t>
      </w:r>
      <w:r w:rsidR="00206742">
        <w:rPr>
          <w:rFonts w:ascii="宋体" w:eastAsia="宋体" w:hAnsi="宋体" w:hint="eastAsia"/>
          <w:sz w:val="21"/>
          <w:szCs w:val="21"/>
        </w:rPr>
        <w:t>：</w:t>
      </w:r>
      <w:r w:rsidRPr="005B4D1E">
        <w:rPr>
          <w:rFonts w:ascii="宋体" w:eastAsia="宋体" w:hAnsi="宋体" w:hint="eastAsia"/>
          <w:sz w:val="21"/>
          <w:szCs w:val="21"/>
        </w:rPr>
        <w:t>PRRSV属于动脉炎病毒科动脉炎病毒属，为有囊膜的单股正链RNA病毒，基因组大小约15kb，包含9个开放阅读框。该病毒分为两种基因型，即以VR-2332株为代表的美洲型和以Lelystad Virus(LV)株为代表的欧洲型，两种基因型核苷酸序列同源性仅为60%左右。PRRSV可以引起以母猪繁殖障碍及各种年龄猪特别是仔猪呼吸道疾病为主要特征的PRRS。该病最早于1987年在美国发生，现已呈世界性分布。我国1996年首次分离到PRRSV美洲型经典株，2006年分离到美洲型高致病性变异株，2010年报道欧洲型毒株。PRRS是我国猪群中最重要传染病之一，给我国养猪业造成了巨大的经济损失。目前，在中国流行的PRRSV以美洲型毒株为主，但也存在欧洲型毒株。PRRSV流行毒株的多样性，使得我国对PRRS的监测、诊断和防控面临着新的严峻挑战，建立和制定PRRSV快速检测技术规程，及时、准确地进行诊断，为正确处置和防控该病，对确保我区畜牧业持续、稳定和健康发展具有重要意义。</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多重荧光定量RT-PCR具有快速、准确、特异、敏感、高通量、无污染等优点，在动物病原检测中得到广泛应用。当前，单重RT-PCR方法已作为检测PRRSV的国家标准，应用单重和多重荧光定量RT-PCR对PRRSV美洲型毒株进行检测在国内外均有报道，但没有归纳总结形成地方标准、行业标准或国家标准。本</w:t>
      </w:r>
      <w:r w:rsidR="00EC0434">
        <w:rPr>
          <w:rFonts w:ascii="宋体" w:eastAsia="宋体" w:hAnsi="宋体" w:hint="eastAsia"/>
          <w:sz w:val="21"/>
          <w:szCs w:val="21"/>
        </w:rPr>
        <w:t>研究</w:t>
      </w:r>
      <w:r w:rsidRPr="005B4D1E">
        <w:rPr>
          <w:rFonts w:ascii="宋体" w:eastAsia="宋体" w:hAnsi="宋体" w:hint="eastAsia"/>
          <w:sz w:val="21"/>
          <w:szCs w:val="21"/>
        </w:rPr>
        <w:t>组根据重大动物疫病监测、检测的需要，建立了能同时检测并区分PRRSV美洲型经典毒株、变异毒株及欧洲型毒株的多重荧光定量RT-PCR方法，并用于临床检测，效果显著。该方法经实验室验证及临床反复应用，技术方法已较为成熟、完善，因此向广西质量技术监督局申请将该法作为广西地方标准进行立项。根据自治区质量技术监督局《关于下达2012年第十一批广西地方标准制定（修订）项目计划的通知》（桂质监函[2012]836号），同意本</w:t>
      </w:r>
      <w:r w:rsidR="00EC0434">
        <w:rPr>
          <w:rFonts w:ascii="宋体" w:eastAsia="宋体" w:hAnsi="宋体" w:hint="eastAsia"/>
          <w:sz w:val="21"/>
          <w:szCs w:val="21"/>
        </w:rPr>
        <w:t>研究</w:t>
      </w:r>
      <w:r w:rsidRPr="005B4D1E">
        <w:rPr>
          <w:rFonts w:ascii="宋体" w:eastAsia="宋体" w:hAnsi="宋体" w:hint="eastAsia"/>
          <w:sz w:val="21"/>
          <w:szCs w:val="21"/>
        </w:rPr>
        <w:t>组承担广西地方标准“美洲型及欧洲型猪繁殖与呼吸综合征病毒的检测  多重荧先定量反转录聚合酶链反应法”的制定工作，</w:t>
      </w:r>
      <w:r w:rsidR="00EC0434">
        <w:rPr>
          <w:rFonts w:ascii="宋体" w:eastAsia="宋体" w:hAnsi="宋体" w:hint="eastAsia"/>
          <w:sz w:val="21"/>
          <w:szCs w:val="21"/>
        </w:rPr>
        <w:t>研究</w:t>
      </w:r>
      <w:r w:rsidRPr="005B4D1E">
        <w:rPr>
          <w:rFonts w:ascii="宋体" w:eastAsia="宋体" w:hAnsi="宋体" w:hint="eastAsia"/>
          <w:sz w:val="21"/>
          <w:szCs w:val="21"/>
        </w:rPr>
        <w:t>编号为2012-1102。</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2012年8月获得立项后，本</w:t>
      </w:r>
      <w:r w:rsidR="00EC0434">
        <w:rPr>
          <w:rFonts w:ascii="宋体" w:eastAsia="宋体" w:hAnsi="宋体" w:hint="eastAsia"/>
          <w:sz w:val="21"/>
          <w:szCs w:val="21"/>
        </w:rPr>
        <w:t>研究</w:t>
      </w:r>
      <w:r w:rsidRPr="005B4D1E">
        <w:rPr>
          <w:rFonts w:ascii="宋体" w:eastAsia="宋体" w:hAnsi="宋体" w:hint="eastAsia"/>
          <w:sz w:val="21"/>
          <w:szCs w:val="21"/>
        </w:rPr>
        <w:t>组严格按照GB/T 1.1-2009《标准化工作导则  第一部分：标准的结构和编写规则》的要求，制定了检测PRRSV美洲型经典毒株、变异毒株及欧洲型毒株多重荧光定量RT-PCR方法的推荐性地方标准，内容涵盖应用多重荧光定量RT-PCR方法检测PRRSV美洲型经典毒株、变异毒株及欧洲型毒株的材料准备、操作方法及结果判定等。按照标准起草编写方案及时间进度表，现已完成了标准修改稿，正在等待广西质量技术监督局组织召开专家评审会。</w:t>
      </w:r>
    </w:p>
    <w:p w:rsidR="009D14A5" w:rsidRPr="005B4D1E" w:rsidRDefault="009D14A5" w:rsidP="00206742">
      <w:pPr>
        <w:pStyle w:val="1"/>
      </w:pPr>
      <w:bookmarkStart w:id="35" w:name="_Toc405816273"/>
      <w:r w:rsidRPr="005B4D1E">
        <w:rPr>
          <w:rFonts w:hint="eastAsia"/>
        </w:rPr>
        <w:lastRenderedPageBreak/>
        <w:t>HP-PRRSV</w:t>
      </w:r>
      <w:r w:rsidRPr="005B4D1E">
        <w:rPr>
          <w:rFonts w:hint="eastAsia"/>
        </w:rPr>
        <w:t>分子流行病学研究</w:t>
      </w:r>
      <w:bookmarkEnd w:id="35"/>
    </w:p>
    <w:p w:rsidR="009D14A5" w:rsidRPr="005B4D1E" w:rsidRDefault="009D14A5" w:rsidP="00206742">
      <w:pPr>
        <w:pStyle w:val="2"/>
      </w:pPr>
      <w:bookmarkStart w:id="36" w:name="_Toc405816274"/>
      <w:r w:rsidRPr="005B4D1E">
        <w:rPr>
          <w:rFonts w:hint="eastAsia"/>
        </w:rPr>
        <w:t>广西</w:t>
      </w:r>
      <w:r w:rsidRPr="005B4D1E">
        <w:rPr>
          <w:rFonts w:hint="eastAsia"/>
        </w:rPr>
        <w:t>PRRSV ORF5</w:t>
      </w:r>
      <w:r w:rsidRPr="005B4D1E">
        <w:rPr>
          <w:rFonts w:hint="eastAsia"/>
        </w:rPr>
        <w:t>及</w:t>
      </w:r>
      <w:r w:rsidRPr="005B4D1E">
        <w:rPr>
          <w:rFonts w:hint="eastAsia"/>
        </w:rPr>
        <w:t>ORF7</w:t>
      </w:r>
      <w:r w:rsidRPr="005B4D1E">
        <w:rPr>
          <w:rFonts w:hint="eastAsia"/>
        </w:rPr>
        <w:t>基因的遗传变异分析</w:t>
      </w:r>
      <w:r w:rsidR="00206742">
        <w:rPr>
          <w:rFonts w:hint="eastAsia"/>
        </w:rPr>
        <w:t>研究</w:t>
      </w:r>
      <w:bookmarkEnd w:id="36"/>
    </w:p>
    <w:p w:rsidR="009D14A5" w:rsidRPr="005B4D1E" w:rsidRDefault="009D14A5" w:rsidP="009D14A5">
      <w:pPr>
        <w:wordWrap w:val="0"/>
        <w:spacing w:line="360" w:lineRule="auto"/>
        <w:rPr>
          <w:rFonts w:ascii="宋体" w:eastAsia="宋体" w:hAnsi="宋体"/>
          <w:sz w:val="21"/>
          <w:szCs w:val="21"/>
        </w:rPr>
      </w:pPr>
      <w:r w:rsidRPr="005B4D1E">
        <w:rPr>
          <w:rFonts w:ascii="宋体" w:eastAsia="宋体" w:hAnsi="宋体" w:hint="eastAsia"/>
          <w:sz w:val="21"/>
          <w:szCs w:val="21"/>
        </w:rPr>
        <w:t xml:space="preserve">    引物设计与合成：参考GenBank上发表的PRRSV毒株VR-2332(AY150564)、LV(M96262)的基因组序列，应用Oligo 6.0设计了PRRSV欧洲型和美洲型毒株通用检测引物：PRRSV-CF：</w:t>
      </w:r>
      <w:smartTag w:uri="urn:schemas-microsoft-com:office:smarttags" w:element="chmetcnv">
        <w:smartTagPr>
          <w:attr w:name="TCSC" w:val="0"/>
          <w:attr w:name="NumberType" w:val="1"/>
          <w:attr w:name="Negative" w:val="False"/>
          <w:attr w:name="HasSpace" w:val="False"/>
          <w:attr w:name="SourceValue" w:val="5"/>
          <w:attr w:name="UnitName" w:val="’"/>
        </w:smartTagPr>
        <w:r w:rsidRPr="005B4D1E">
          <w:rPr>
            <w:rFonts w:ascii="宋体" w:eastAsia="宋体" w:hAnsi="宋体" w:hint="eastAsia"/>
            <w:sz w:val="21"/>
            <w:szCs w:val="21"/>
          </w:rPr>
          <w:t>5</w:t>
        </w:r>
        <w:r w:rsidRPr="005B4D1E">
          <w:rPr>
            <w:rFonts w:ascii="宋体" w:eastAsia="宋体" w:hAnsi="宋体"/>
            <w:sz w:val="21"/>
            <w:szCs w:val="21"/>
          </w:rPr>
          <w:t>’</w:t>
        </w:r>
      </w:smartTag>
      <w:r w:rsidRPr="005B4D1E">
        <w:rPr>
          <w:rFonts w:ascii="宋体" w:eastAsia="宋体" w:hAnsi="宋体" w:hint="eastAsia"/>
          <w:sz w:val="21"/>
          <w:szCs w:val="21"/>
        </w:rPr>
        <w:t>-ATGGCCAGCCAGTCAATCA</w:t>
      </w:r>
      <w:smartTag w:uri="urn:schemas-microsoft-com:office:smarttags" w:element="chmetcnv">
        <w:smartTagPr>
          <w:attr w:name="TCSC" w:val="0"/>
          <w:attr w:name="NumberType" w:val="1"/>
          <w:attr w:name="Negative" w:val="True"/>
          <w:attr w:name="HasSpace" w:val="False"/>
          <w:attr w:name="SourceValue" w:val="3"/>
          <w:attr w:name="UnitName" w:val="’"/>
        </w:smartTagPr>
        <w:r w:rsidRPr="005B4D1E">
          <w:rPr>
            <w:rFonts w:ascii="宋体" w:eastAsia="宋体" w:hAnsi="宋体" w:hint="eastAsia"/>
            <w:sz w:val="21"/>
            <w:szCs w:val="21"/>
          </w:rPr>
          <w:t>-3’</w:t>
        </w:r>
      </w:smartTag>
      <w:r w:rsidRPr="005B4D1E">
        <w:rPr>
          <w:rFonts w:ascii="宋体" w:eastAsia="宋体" w:hAnsi="宋体" w:hint="eastAsia"/>
          <w:sz w:val="21"/>
          <w:szCs w:val="21"/>
        </w:rPr>
        <w:t>(VR-2332株：14932-14950nt；LV：14653-14671nt)和PRRSV-CR：</w:t>
      </w:r>
      <w:smartTag w:uri="urn:schemas-microsoft-com:office:smarttags" w:element="chmetcnv">
        <w:smartTagPr>
          <w:attr w:name="TCSC" w:val="0"/>
          <w:attr w:name="NumberType" w:val="1"/>
          <w:attr w:name="Negative" w:val="False"/>
          <w:attr w:name="HasSpace" w:val="False"/>
          <w:attr w:name="SourceValue" w:val="5"/>
          <w:attr w:name="UnitName" w:val="’"/>
        </w:smartTagPr>
        <w:r w:rsidRPr="005B4D1E">
          <w:rPr>
            <w:rFonts w:ascii="宋体" w:eastAsia="宋体" w:hAnsi="宋体" w:hint="eastAsia"/>
            <w:sz w:val="21"/>
            <w:szCs w:val="21"/>
          </w:rPr>
          <w:t>5’</w:t>
        </w:r>
      </w:smartTag>
      <w:r w:rsidRPr="005B4D1E">
        <w:rPr>
          <w:rFonts w:ascii="宋体" w:eastAsia="宋体" w:hAnsi="宋体" w:hint="eastAsia"/>
          <w:sz w:val="21"/>
          <w:szCs w:val="21"/>
        </w:rPr>
        <w:t>-TCGCCCTAATTGAATAGGTG</w:t>
      </w:r>
      <w:smartTag w:uri="urn:schemas-microsoft-com:office:smarttags" w:element="chmetcnv">
        <w:smartTagPr>
          <w:attr w:name="TCSC" w:val="0"/>
          <w:attr w:name="NumberType" w:val="1"/>
          <w:attr w:name="Negative" w:val="True"/>
          <w:attr w:name="HasSpace" w:val="False"/>
          <w:attr w:name="SourceValue" w:val="3"/>
          <w:attr w:name="UnitName" w:val="’"/>
        </w:smartTagPr>
        <w:r w:rsidRPr="005B4D1E">
          <w:rPr>
            <w:rFonts w:ascii="宋体" w:eastAsia="宋体" w:hAnsi="宋体" w:hint="eastAsia"/>
            <w:sz w:val="21"/>
            <w:szCs w:val="21"/>
          </w:rPr>
          <w:t>-3’</w:t>
        </w:r>
      </w:smartTag>
      <w:r w:rsidRPr="005B4D1E">
        <w:rPr>
          <w:rFonts w:ascii="宋体" w:eastAsia="宋体" w:hAnsi="宋体" w:hint="eastAsia"/>
          <w:sz w:val="21"/>
          <w:szCs w:val="21"/>
        </w:rPr>
        <w:t xml:space="preserve">  (VR-2332株：15345-15364nt；LV：15031-15050nt)，预期扩增ORF7基因的目的片段在美洲型毒株为433bp、在欧洲型毒株为398bp；设计了扩增引物：PRRSV-ORF567-F：</w:t>
      </w:r>
      <w:smartTag w:uri="urn:schemas-microsoft-com:office:smarttags" w:element="chmetcnv">
        <w:smartTagPr>
          <w:attr w:name="TCSC" w:val="0"/>
          <w:attr w:name="NumberType" w:val="1"/>
          <w:attr w:name="Negative" w:val="False"/>
          <w:attr w:name="HasSpace" w:val="False"/>
          <w:attr w:name="SourceValue" w:val="5"/>
          <w:attr w:name="UnitName" w:val="’"/>
        </w:smartTagPr>
        <w:r w:rsidRPr="005B4D1E">
          <w:rPr>
            <w:rFonts w:ascii="宋体" w:eastAsia="宋体" w:hAnsi="宋体" w:hint="eastAsia"/>
            <w:sz w:val="21"/>
            <w:szCs w:val="21"/>
          </w:rPr>
          <w:t>5</w:t>
        </w:r>
        <w:r w:rsidRPr="005B4D1E">
          <w:rPr>
            <w:rFonts w:ascii="宋体" w:eastAsia="宋体" w:hAnsi="宋体"/>
            <w:sz w:val="21"/>
            <w:szCs w:val="21"/>
          </w:rPr>
          <w:t>’</w:t>
        </w:r>
      </w:smartTag>
      <w:r w:rsidRPr="005B4D1E">
        <w:rPr>
          <w:rFonts w:ascii="宋体" w:eastAsia="宋体" w:hAnsi="宋体" w:hint="eastAsia"/>
          <w:sz w:val="21"/>
          <w:szCs w:val="21"/>
        </w:rPr>
        <w:t>-TCATGACACCTGAGACCATGAG</w:t>
      </w:r>
      <w:smartTag w:uri="urn:schemas-microsoft-com:office:smarttags" w:element="chmetcnv">
        <w:smartTagPr>
          <w:attr w:name="TCSC" w:val="0"/>
          <w:attr w:name="NumberType" w:val="1"/>
          <w:attr w:name="Negative" w:val="True"/>
          <w:attr w:name="HasSpace" w:val="False"/>
          <w:attr w:name="SourceValue" w:val="3"/>
          <w:attr w:name="UnitName" w:val="’"/>
        </w:smartTagPr>
        <w:r w:rsidRPr="005B4D1E">
          <w:rPr>
            <w:rFonts w:ascii="宋体" w:eastAsia="宋体" w:hAnsi="宋体" w:hint="eastAsia"/>
            <w:sz w:val="21"/>
            <w:szCs w:val="21"/>
          </w:rPr>
          <w:t>-3’</w:t>
        </w:r>
      </w:smartTag>
      <w:r w:rsidRPr="005B4D1E">
        <w:rPr>
          <w:rFonts w:ascii="宋体" w:eastAsia="宋体" w:hAnsi="宋体" w:hint="eastAsia"/>
          <w:sz w:val="21"/>
          <w:szCs w:val="21"/>
        </w:rPr>
        <w:t>(VR-2332株：13706-13727nt)和PRRSV-ORF567-R：</w:t>
      </w:r>
      <w:smartTag w:uri="urn:schemas-microsoft-com:office:smarttags" w:element="chmetcnv">
        <w:smartTagPr>
          <w:attr w:name="TCSC" w:val="0"/>
          <w:attr w:name="NumberType" w:val="1"/>
          <w:attr w:name="Negative" w:val="False"/>
          <w:attr w:name="HasSpace" w:val="False"/>
          <w:attr w:name="SourceValue" w:val="5"/>
          <w:attr w:name="UnitName" w:val="’"/>
        </w:smartTagPr>
        <w:r w:rsidRPr="005B4D1E">
          <w:rPr>
            <w:rFonts w:ascii="宋体" w:eastAsia="宋体" w:hAnsi="宋体" w:hint="eastAsia"/>
            <w:sz w:val="21"/>
            <w:szCs w:val="21"/>
          </w:rPr>
          <w:t>5</w:t>
        </w:r>
        <w:r w:rsidRPr="005B4D1E">
          <w:rPr>
            <w:rFonts w:ascii="宋体" w:eastAsia="宋体" w:hAnsi="宋体"/>
            <w:sz w:val="21"/>
            <w:szCs w:val="21"/>
          </w:rPr>
          <w:t>’</w:t>
        </w:r>
      </w:smartTag>
      <w:r w:rsidRPr="005B4D1E">
        <w:rPr>
          <w:rFonts w:ascii="宋体" w:eastAsia="宋体" w:hAnsi="宋体" w:hint="eastAsia"/>
          <w:sz w:val="21"/>
          <w:szCs w:val="21"/>
        </w:rPr>
        <w:t>-CAATCAGTGCCATTCACCACA</w:t>
      </w:r>
      <w:smartTag w:uri="urn:schemas-microsoft-com:office:smarttags" w:element="chmetcnv">
        <w:smartTagPr>
          <w:attr w:name="TCSC" w:val="0"/>
          <w:attr w:name="NumberType" w:val="1"/>
          <w:attr w:name="Negative" w:val="True"/>
          <w:attr w:name="HasSpace" w:val="False"/>
          <w:attr w:name="SourceValue" w:val="3"/>
          <w:attr w:name="UnitName" w:val="’"/>
        </w:smartTagPr>
        <w:r w:rsidRPr="005B4D1E">
          <w:rPr>
            <w:rFonts w:ascii="宋体" w:eastAsia="宋体" w:hAnsi="宋体" w:hint="eastAsia"/>
            <w:sz w:val="21"/>
            <w:szCs w:val="21"/>
          </w:rPr>
          <w:t>-3</w:t>
        </w:r>
        <w:r w:rsidRPr="005B4D1E">
          <w:rPr>
            <w:rFonts w:ascii="宋体" w:eastAsia="宋体" w:hAnsi="宋体"/>
            <w:sz w:val="21"/>
            <w:szCs w:val="21"/>
          </w:rPr>
          <w:t>’</w:t>
        </w:r>
      </w:smartTag>
      <w:r w:rsidRPr="005B4D1E">
        <w:rPr>
          <w:rFonts w:ascii="宋体" w:eastAsia="宋体" w:hAnsi="宋体" w:hint="eastAsia"/>
          <w:sz w:val="21"/>
          <w:szCs w:val="21"/>
        </w:rPr>
        <w:t>(VR-2332株：15312-15332nt)，预期扩增覆盖美洲型毒株完整ORF5～ORF7基因的1627bp的目的片段。</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病料组织的检测：病料组织来自2004-2010年间广西各地疑似PRRS发病猪场，共计946份。取脾、肺、淋巴结各</w:t>
      </w:r>
      <w:smartTag w:uri="urn:schemas-microsoft-com:office:smarttags" w:element="chmetcnv">
        <w:smartTagPr>
          <w:attr w:name="TCSC" w:val="0"/>
          <w:attr w:name="NumberType" w:val="1"/>
          <w:attr w:name="Negative" w:val="False"/>
          <w:attr w:name="HasSpace" w:val="False"/>
          <w:attr w:name="SourceValue" w:val="5"/>
          <w:attr w:name="UnitName" w:val="g"/>
        </w:smartTagPr>
        <w:r w:rsidRPr="005B4D1E">
          <w:rPr>
            <w:rFonts w:ascii="宋体" w:eastAsia="宋体" w:hAnsi="宋体" w:hint="eastAsia"/>
            <w:sz w:val="21"/>
            <w:szCs w:val="21"/>
          </w:rPr>
          <w:t>5g</w:t>
        </w:r>
      </w:smartTag>
      <w:r w:rsidRPr="005B4D1E">
        <w:rPr>
          <w:rFonts w:ascii="宋体" w:eastAsia="宋体" w:hAnsi="宋体" w:hint="eastAsia"/>
          <w:sz w:val="21"/>
          <w:szCs w:val="21"/>
        </w:rPr>
        <w:t>，研磨后按1：4(W/V)加入PBS(pH7.2)，反复冻融3次，10000r/min离心10min。取上清，应用RNA提取试剂盒抽提总RNA，应用PCR试剂盒，利用随机引物9聚体和AMV反转录酶进行反转录获得cDNA模板。应用PRRSV-CF和PRRSV-CR引物，建立25</w:t>
      </w:r>
      <w:r w:rsidRPr="005B4D1E">
        <w:rPr>
          <w:rFonts w:ascii="宋体" w:eastAsia="宋体" w:hAnsi="宋体"/>
          <w:sz w:val="21"/>
          <w:szCs w:val="21"/>
        </w:rPr>
        <w:t>µ</w:t>
      </w:r>
      <w:r w:rsidRPr="005B4D1E">
        <w:rPr>
          <w:rFonts w:ascii="宋体" w:eastAsia="宋体" w:hAnsi="宋体" w:hint="eastAsia"/>
          <w:sz w:val="21"/>
          <w:szCs w:val="21"/>
        </w:rPr>
        <w:t>L PCR反应体系：5</w:t>
      </w:r>
      <w:r w:rsidRPr="005B4D1E">
        <w:rPr>
          <w:rFonts w:ascii="宋体" w:eastAsia="宋体" w:hAnsi="宋体" w:cs="Arial"/>
          <w:sz w:val="21"/>
          <w:szCs w:val="21"/>
        </w:rPr>
        <w:t>×</w:t>
      </w:r>
      <w:r w:rsidRPr="005B4D1E">
        <w:rPr>
          <w:rFonts w:ascii="宋体" w:eastAsia="宋体" w:hAnsi="宋体" w:hint="eastAsia"/>
          <w:sz w:val="21"/>
          <w:szCs w:val="21"/>
        </w:rPr>
        <w:t>PCR Buffer 5</w:t>
      </w:r>
      <w:r w:rsidRPr="005B4D1E">
        <w:rPr>
          <w:rFonts w:ascii="宋体" w:eastAsia="宋体" w:hAnsi="宋体"/>
          <w:sz w:val="21"/>
          <w:szCs w:val="21"/>
        </w:rPr>
        <w:t>µ</w:t>
      </w:r>
      <w:r w:rsidRPr="005B4D1E">
        <w:rPr>
          <w:rFonts w:ascii="宋体" w:eastAsia="宋体" w:hAnsi="宋体" w:hint="eastAsia"/>
          <w:sz w:val="21"/>
          <w:szCs w:val="21"/>
        </w:rPr>
        <w:t>L、上下游通用检测引物（25pmol/</w:t>
      </w:r>
      <w:r w:rsidRPr="005B4D1E">
        <w:rPr>
          <w:rFonts w:ascii="宋体" w:eastAsia="宋体" w:hAnsi="宋体"/>
          <w:sz w:val="21"/>
          <w:szCs w:val="21"/>
        </w:rPr>
        <w:t>µ</w:t>
      </w:r>
      <w:r w:rsidRPr="005B4D1E">
        <w:rPr>
          <w:rFonts w:ascii="宋体" w:eastAsia="宋体" w:hAnsi="宋体" w:hint="eastAsia"/>
          <w:sz w:val="21"/>
          <w:szCs w:val="21"/>
        </w:rPr>
        <w:t>L）各0.5</w:t>
      </w:r>
      <w:r w:rsidRPr="005B4D1E">
        <w:rPr>
          <w:rFonts w:ascii="宋体" w:eastAsia="宋体" w:hAnsi="宋体"/>
          <w:sz w:val="21"/>
          <w:szCs w:val="21"/>
        </w:rPr>
        <w:t>µ</w:t>
      </w:r>
      <w:r w:rsidRPr="005B4D1E">
        <w:rPr>
          <w:rFonts w:ascii="宋体" w:eastAsia="宋体" w:hAnsi="宋体" w:hint="eastAsia"/>
          <w:sz w:val="21"/>
          <w:szCs w:val="21"/>
        </w:rPr>
        <w:t>L、灭菌蒸馏水13.85</w:t>
      </w:r>
      <w:r w:rsidRPr="005B4D1E">
        <w:rPr>
          <w:rFonts w:ascii="宋体" w:eastAsia="宋体" w:hAnsi="宋体"/>
          <w:sz w:val="21"/>
          <w:szCs w:val="21"/>
        </w:rPr>
        <w:t>µ</w:t>
      </w:r>
      <w:r w:rsidRPr="005B4D1E">
        <w:rPr>
          <w:rFonts w:ascii="宋体" w:eastAsia="宋体" w:hAnsi="宋体" w:hint="eastAsia"/>
          <w:sz w:val="21"/>
          <w:szCs w:val="21"/>
        </w:rPr>
        <w:t>L、Ex Taq聚合酶（5U/</w:t>
      </w:r>
      <w:r w:rsidRPr="005B4D1E">
        <w:rPr>
          <w:rFonts w:ascii="宋体" w:eastAsia="宋体" w:hAnsi="宋体"/>
          <w:sz w:val="21"/>
          <w:szCs w:val="21"/>
        </w:rPr>
        <w:t>µ</w:t>
      </w:r>
      <w:r w:rsidRPr="005B4D1E">
        <w:rPr>
          <w:rFonts w:ascii="宋体" w:eastAsia="宋体" w:hAnsi="宋体" w:hint="eastAsia"/>
          <w:sz w:val="21"/>
          <w:szCs w:val="21"/>
        </w:rPr>
        <w:t>L）0.15</w:t>
      </w:r>
      <w:r w:rsidRPr="005B4D1E">
        <w:rPr>
          <w:rFonts w:ascii="宋体" w:eastAsia="宋体" w:hAnsi="宋体"/>
          <w:sz w:val="21"/>
          <w:szCs w:val="21"/>
        </w:rPr>
        <w:t>µ</w:t>
      </w:r>
      <w:r w:rsidRPr="005B4D1E">
        <w:rPr>
          <w:rFonts w:ascii="宋体" w:eastAsia="宋体" w:hAnsi="宋体" w:hint="eastAsia"/>
          <w:sz w:val="21"/>
          <w:szCs w:val="21"/>
        </w:rPr>
        <w:t>L、cDNA模板5</w:t>
      </w:r>
      <w:r w:rsidRPr="005B4D1E">
        <w:rPr>
          <w:rFonts w:ascii="宋体" w:eastAsia="宋体" w:hAnsi="宋体"/>
          <w:sz w:val="21"/>
          <w:szCs w:val="21"/>
        </w:rPr>
        <w:t>µ</w:t>
      </w:r>
      <w:r w:rsidRPr="005B4D1E">
        <w:rPr>
          <w:rFonts w:ascii="宋体" w:eastAsia="宋体" w:hAnsi="宋体" w:hint="eastAsia"/>
          <w:sz w:val="21"/>
          <w:szCs w:val="21"/>
        </w:rPr>
        <w:t>L。反应程序为：</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smartTag>
      <w:r w:rsidRPr="005B4D1E">
        <w:rPr>
          <w:rFonts w:ascii="宋体" w:eastAsia="宋体" w:hAnsi="宋体" w:hint="eastAsia"/>
          <w:sz w:val="21"/>
          <w:szCs w:val="21"/>
        </w:rPr>
        <w:t>3min；</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smartTag>
      <w:r w:rsidRPr="005B4D1E">
        <w:rPr>
          <w:rFonts w:ascii="宋体" w:eastAsia="宋体" w:hAnsi="宋体" w:hint="eastAsia"/>
          <w:sz w:val="21"/>
          <w:szCs w:val="21"/>
        </w:rPr>
        <w:t>30s，</w:t>
      </w:r>
      <w:smartTag w:uri="urn:schemas-microsoft-com:office:smarttags" w:element="chmetcnv">
        <w:smartTagPr>
          <w:attr w:name="TCSC" w:val="0"/>
          <w:attr w:name="NumberType" w:val="1"/>
          <w:attr w:name="Negative" w:val="False"/>
          <w:attr w:name="HasSpace" w:val="False"/>
          <w:attr w:name="SourceValue" w:val="57"/>
          <w:attr w:name="UnitName" w:val="℃"/>
        </w:smartTagPr>
        <w:r w:rsidRPr="005B4D1E">
          <w:rPr>
            <w:rFonts w:ascii="宋体" w:eastAsia="宋体" w:hAnsi="宋体" w:hint="eastAsia"/>
            <w:sz w:val="21"/>
            <w:szCs w:val="21"/>
          </w:rPr>
          <w:t>57℃</w:t>
        </w:r>
      </w:smartTag>
      <w:r w:rsidRPr="005B4D1E">
        <w:rPr>
          <w:rFonts w:ascii="宋体" w:eastAsia="宋体" w:hAnsi="宋体" w:hint="eastAsia"/>
          <w:sz w:val="21"/>
          <w:szCs w:val="21"/>
        </w:rPr>
        <w:t>30s，</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30s，35个循环；最后</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r w:rsidRPr="005B4D1E">
          <w:rPr>
            <w:rFonts w:ascii="宋体" w:eastAsia="宋体" w:hAnsi="宋体" w:cs="Arial"/>
            <w:sz w:val="21"/>
            <w:szCs w:val="21"/>
          </w:rPr>
          <w:t>℃</w:t>
        </w:r>
      </w:smartTag>
      <w:r w:rsidRPr="005B4D1E">
        <w:rPr>
          <w:rFonts w:ascii="宋体" w:eastAsia="宋体" w:hAnsi="宋体" w:hint="eastAsia"/>
          <w:sz w:val="21"/>
          <w:szCs w:val="21"/>
        </w:rPr>
        <w:t>10min。应用</w:t>
      </w:r>
      <w:smartTag w:uri="urn:schemas-microsoft-com:office:smarttags" w:element="chmetcnv">
        <w:smartTagPr>
          <w:attr w:name="TCSC" w:val="0"/>
          <w:attr w:name="NumberType" w:val="1"/>
          <w:attr w:name="Negative" w:val="False"/>
          <w:attr w:name="HasSpace" w:val="False"/>
          <w:attr w:name="SourceValue" w:val="15"/>
          <w:attr w:name="UnitName" w:val="g"/>
        </w:smartTagPr>
        <w:r w:rsidRPr="005B4D1E">
          <w:rPr>
            <w:rFonts w:ascii="宋体" w:eastAsia="宋体" w:hAnsi="宋体" w:hint="eastAsia"/>
            <w:sz w:val="21"/>
            <w:szCs w:val="21"/>
          </w:rPr>
          <w:t>15g</w:t>
        </w:r>
      </w:smartTag>
      <w:r w:rsidRPr="005B4D1E">
        <w:rPr>
          <w:rFonts w:ascii="宋体" w:eastAsia="宋体" w:hAnsi="宋体" w:hint="eastAsia"/>
          <w:sz w:val="21"/>
          <w:szCs w:val="21"/>
        </w:rPr>
        <w:t>/L的琼脂糖凝胶进行电泳分析。结果，从2004-2010午间采集的946份病料中检出</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PRRSV阳性297份，阳性率为31.4%（见图22）。</w:t>
      </w:r>
    </w:p>
    <w:p w:rsidR="009D14A5" w:rsidRPr="005B4D1E" w:rsidRDefault="009D14A5" w:rsidP="009D14A5">
      <w:pPr>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1751330" cy="1656080"/>
            <wp:effectExtent l="19050" t="0" r="1270" b="0"/>
            <wp:docPr id="2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6" cstate="print"/>
                    <a:srcRect/>
                    <a:stretch>
                      <a:fillRect/>
                    </a:stretch>
                  </pic:blipFill>
                  <pic:spPr bwMode="auto">
                    <a:xfrm>
                      <a:off x="0" y="0"/>
                      <a:ext cx="1751330" cy="1656080"/>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M：DNA标准DL2000；1：ORF7基因RT-PCR产物；2：阴性对照；3：ORF567基因RT-PCR产物</w:t>
      </w:r>
    </w:p>
    <w:p w:rsidR="009D14A5" w:rsidRPr="005B4D1E" w:rsidRDefault="009D14A5" w:rsidP="003B0360">
      <w:pPr>
        <w:pStyle w:val="a5"/>
        <w:spacing w:after="156"/>
      </w:pPr>
      <w:bookmarkStart w:id="37" w:name="_Toc405816326"/>
      <w:r w:rsidRPr="005B4D1E">
        <w:rPr>
          <w:rFonts w:hint="eastAsia"/>
        </w:rPr>
        <w:t>图</w:t>
      </w:r>
      <w:r w:rsidR="003B0360">
        <w:rPr>
          <w:rFonts w:hint="eastAsia"/>
        </w:rPr>
        <w:t xml:space="preserve">22 </w:t>
      </w:r>
      <w:r w:rsidRPr="005B4D1E">
        <w:rPr>
          <w:rFonts w:hint="eastAsia"/>
        </w:rPr>
        <w:t>临床病料组织</w:t>
      </w:r>
      <w:r w:rsidRPr="005B4D1E">
        <w:rPr>
          <w:rFonts w:hint="eastAsia"/>
        </w:rPr>
        <w:t>PRRSV</w:t>
      </w:r>
      <w:r w:rsidRPr="005B4D1E">
        <w:rPr>
          <w:rFonts w:hint="eastAsia"/>
        </w:rPr>
        <w:t>检测结果</w:t>
      </w:r>
      <w:bookmarkEnd w:id="37"/>
    </w:p>
    <w:p w:rsidR="009D14A5" w:rsidRPr="005B4D1E" w:rsidRDefault="009D14A5" w:rsidP="009D14A5">
      <w:pPr>
        <w:spacing w:line="360" w:lineRule="auto"/>
        <w:rPr>
          <w:rFonts w:ascii="宋体" w:eastAsia="宋体" w:hAnsi="宋体"/>
          <w:b/>
          <w:bCs/>
          <w:sz w:val="21"/>
          <w:szCs w:val="21"/>
        </w:rPr>
      </w:pP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lastRenderedPageBreak/>
        <w:t xml:space="preserve">    </w:t>
      </w:r>
      <w:r w:rsidRPr="005B4D1E">
        <w:rPr>
          <w:rFonts w:ascii="宋体" w:eastAsia="宋体" w:hAnsi="宋体" w:hint="eastAsia"/>
          <w:b/>
          <w:sz w:val="21"/>
          <w:szCs w:val="21"/>
        </w:rPr>
        <w:t>ORF567目的片段的克隆及测序：</w:t>
      </w:r>
      <w:r w:rsidRPr="005B4D1E">
        <w:rPr>
          <w:rFonts w:ascii="宋体" w:eastAsia="宋体" w:hAnsi="宋体" w:hint="eastAsia"/>
          <w:sz w:val="21"/>
          <w:szCs w:val="21"/>
        </w:rPr>
        <w:t>经用通用引物进行RT-PCR检测为阳性的样品，以其cDNA为模板，应用PRRSV-ORF567-F和PRRSV-ORF567-R引物，建立25</w:t>
      </w:r>
      <w:r w:rsidRPr="005B4D1E">
        <w:rPr>
          <w:rFonts w:ascii="宋体" w:eastAsia="宋体" w:hAnsi="宋体"/>
          <w:sz w:val="21"/>
          <w:szCs w:val="21"/>
        </w:rPr>
        <w:t>µ</w:t>
      </w:r>
      <w:r w:rsidRPr="005B4D1E">
        <w:rPr>
          <w:rFonts w:ascii="宋体" w:eastAsia="宋体" w:hAnsi="宋体" w:hint="eastAsia"/>
          <w:sz w:val="21"/>
          <w:szCs w:val="21"/>
        </w:rPr>
        <w:t>L PCR反应体系，反应程序为：</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smartTag>
      <w:r w:rsidRPr="005B4D1E">
        <w:rPr>
          <w:rFonts w:ascii="宋体" w:eastAsia="宋体" w:hAnsi="宋体" w:hint="eastAsia"/>
          <w:sz w:val="21"/>
          <w:szCs w:val="21"/>
        </w:rPr>
        <w:t>3min；</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smartTag>
      <w:r w:rsidRPr="005B4D1E">
        <w:rPr>
          <w:rFonts w:ascii="宋体" w:eastAsia="宋体" w:hAnsi="宋体" w:hint="eastAsia"/>
          <w:sz w:val="21"/>
          <w:szCs w:val="21"/>
        </w:rPr>
        <w:t>45s，</w:t>
      </w:r>
      <w:smartTag w:uri="urn:schemas-microsoft-com:office:smarttags" w:element="chmetcnv">
        <w:smartTagPr>
          <w:attr w:name="TCSC" w:val="0"/>
          <w:attr w:name="NumberType" w:val="1"/>
          <w:attr w:name="Negative" w:val="False"/>
          <w:attr w:name="HasSpace" w:val="False"/>
          <w:attr w:name="SourceValue" w:val="56"/>
          <w:attr w:name="UnitName" w:val="℃"/>
        </w:smartTagPr>
        <w:r w:rsidRPr="005B4D1E">
          <w:rPr>
            <w:rFonts w:ascii="宋体" w:eastAsia="宋体" w:hAnsi="宋体" w:hint="eastAsia"/>
            <w:sz w:val="21"/>
            <w:szCs w:val="21"/>
          </w:rPr>
          <w:t>56℃</w:t>
        </w:r>
      </w:smartTag>
      <w:r w:rsidRPr="005B4D1E">
        <w:rPr>
          <w:rFonts w:ascii="宋体" w:eastAsia="宋体" w:hAnsi="宋体" w:hint="eastAsia"/>
          <w:sz w:val="21"/>
          <w:szCs w:val="21"/>
        </w:rPr>
        <w:t>45s，</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90s，35个循环；最后</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10min。反应结束后，用胶回收试剂盒纯化ORF567扩增片段（见图22），将其与pMD18-T载体连接，转化DH5</w:t>
      </w:r>
      <w:r w:rsidRPr="005B4D1E">
        <w:rPr>
          <w:rFonts w:ascii="宋体" w:eastAsia="宋体" w:hAnsi="宋体" w:cs="Arial"/>
          <w:sz w:val="21"/>
          <w:szCs w:val="21"/>
        </w:rPr>
        <w:t>α</w:t>
      </w:r>
      <w:r w:rsidRPr="005B4D1E">
        <w:rPr>
          <w:rFonts w:ascii="宋体" w:eastAsia="宋体" w:hAnsi="宋体" w:hint="eastAsia"/>
          <w:sz w:val="21"/>
          <w:szCs w:val="21"/>
        </w:rPr>
        <w:t>感受态细胞。涂板，挑白色菌落接种于LB液体培养基(Amp</w:t>
      </w:r>
      <w:r w:rsidRPr="005B4D1E">
        <w:rPr>
          <w:rFonts w:ascii="宋体" w:eastAsia="宋体" w:hAnsi="宋体" w:hint="eastAsia"/>
          <w:sz w:val="21"/>
          <w:szCs w:val="21"/>
          <w:vertAlign w:val="superscript"/>
        </w:rPr>
        <w:t>+</w:t>
      </w:r>
      <w:r w:rsidRPr="005B4D1E">
        <w:rPr>
          <w:rFonts w:ascii="宋体" w:eastAsia="宋体" w:hAnsi="宋体" w:hint="eastAsia"/>
          <w:sz w:val="21"/>
          <w:szCs w:val="21"/>
        </w:rPr>
        <w:t>)培养后，提取质粒，进行PCR鉴定、测序。结果，获得73个毒株的ORF5基因序列、81个毒株的ORF7基因序列。</w:t>
      </w:r>
    </w:p>
    <w:p w:rsidR="009D14A5" w:rsidRPr="005B4D1E" w:rsidRDefault="009D14A5" w:rsidP="005B4D1E">
      <w:pPr>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ORF5和PORF7基因序列分析：</w:t>
      </w:r>
      <w:r w:rsidRPr="005B4D1E">
        <w:rPr>
          <w:rFonts w:ascii="宋体" w:eastAsia="宋体" w:hAnsi="宋体" w:hint="eastAsia"/>
          <w:sz w:val="21"/>
          <w:szCs w:val="21"/>
        </w:rPr>
        <w:t>应用DNAStar软件包，将所获得PRRSV毒株ORF5及ORF7基因序列，与GenBank上发表的24株国内外PRRSV参考毒株（见表5）的ORF5及ORF7基因序列进行核苷酸序列及其推导氨基酸序列的比对分析，并利用CLUSTAL X l.83及MEGA4.0软件包的neighbor-joining方法绘制系统进化树。</w:t>
      </w:r>
    </w:p>
    <w:p w:rsidR="009D14A5" w:rsidRPr="005B4D1E" w:rsidRDefault="009D14A5" w:rsidP="003B0360">
      <w:pPr>
        <w:pStyle w:val="a6"/>
        <w:spacing w:before="156"/>
      </w:pPr>
      <w:bookmarkStart w:id="38" w:name="_Toc405816412"/>
      <w:r w:rsidRPr="005B4D1E">
        <w:rPr>
          <w:rFonts w:hint="eastAsia"/>
        </w:rPr>
        <w:t>表</w:t>
      </w:r>
      <w:r w:rsidR="003B0360">
        <w:rPr>
          <w:rFonts w:hint="eastAsia"/>
        </w:rPr>
        <w:t xml:space="preserve">5 </w:t>
      </w:r>
      <w:r w:rsidRPr="005B4D1E">
        <w:rPr>
          <w:rFonts w:hint="eastAsia"/>
        </w:rPr>
        <w:t>研究所用的</w:t>
      </w:r>
      <w:r w:rsidRPr="005B4D1E">
        <w:rPr>
          <w:rFonts w:hint="eastAsia"/>
        </w:rPr>
        <w:t>PRRSV</w:t>
      </w:r>
      <w:r w:rsidRPr="005B4D1E">
        <w:rPr>
          <w:rFonts w:hint="eastAsia"/>
        </w:rPr>
        <w:t>参考毒株</w:t>
      </w:r>
      <w:bookmarkEnd w:id="38"/>
    </w:p>
    <w:p w:rsidR="009D14A5" w:rsidRPr="005B4D1E" w:rsidRDefault="009D14A5" w:rsidP="009D14A5">
      <w:pPr>
        <w:spacing w:line="360" w:lineRule="auto"/>
        <w:jc w:val="center"/>
        <w:rPr>
          <w:rFonts w:ascii="宋体" w:eastAsia="宋体" w:hAnsi="宋体"/>
          <w:b/>
          <w:bCs/>
          <w:sz w:val="21"/>
          <w:szCs w:val="21"/>
        </w:rPr>
      </w:pPr>
      <w:r w:rsidRPr="005B4D1E">
        <w:rPr>
          <w:rFonts w:ascii="宋体" w:eastAsia="宋体" w:hAnsi="宋体"/>
          <w:noProof/>
          <w:sz w:val="21"/>
          <w:szCs w:val="21"/>
        </w:rPr>
        <w:drawing>
          <wp:inline distT="0" distB="0" distL="0" distR="0">
            <wp:extent cx="5270500" cy="3381375"/>
            <wp:effectExtent l="19050" t="0" r="6350" b="0"/>
            <wp:docPr id="2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37" cstate="print"/>
                    <a:srcRect/>
                    <a:stretch>
                      <a:fillRect/>
                    </a:stretch>
                  </pic:blipFill>
                  <pic:spPr bwMode="auto">
                    <a:xfrm>
                      <a:off x="0" y="0"/>
                      <a:ext cx="5270500" cy="3381375"/>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ORF5基因同源性分析：</w:t>
      </w:r>
      <w:r w:rsidRPr="005B4D1E">
        <w:rPr>
          <w:rFonts w:ascii="宋体" w:eastAsia="宋体" w:hAnsi="宋体" w:hint="eastAsia"/>
          <w:sz w:val="21"/>
          <w:szCs w:val="21"/>
        </w:rPr>
        <w:t>本研究所获得的73个PRRSV毒株ORF5基因序列均为603 bp，编码200个氨基酸。广西毒株间ORF5基因推导的氨基酸序列同源性为89.6%~99.5%，它们与美洲型代表株VR-2332、中国传统毒株Ch-la、高致病性代表株JXA1 ORF5基因推导的氨基酸序列同源性分别为84.6%～91%、89.6%～95.5%、93%～99%，而与欧洲型代表株LV ORF5基因推导的氨基酸序列同源性为54.7%～56.7%。</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ORF5基因氨基酸序列比对：</w:t>
      </w:r>
      <w:r w:rsidRPr="005B4D1E">
        <w:rPr>
          <w:rFonts w:ascii="宋体" w:eastAsia="宋体" w:hAnsi="宋体" w:hint="eastAsia"/>
          <w:sz w:val="21"/>
          <w:szCs w:val="21"/>
        </w:rPr>
        <w:t>ORF5基因推导的氨基酸位点变异分析见表6。GP5氨基酸序列的第13位和第151位被认为是与PRRSV毒力相关的位点，本研究所得的73个毒株的</w:t>
      </w:r>
      <w:r w:rsidRPr="005B4D1E">
        <w:rPr>
          <w:rFonts w:ascii="宋体" w:eastAsia="宋体" w:hAnsi="宋体" w:hint="eastAsia"/>
          <w:sz w:val="21"/>
          <w:szCs w:val="21"/>
        </w:rPr>
        <w:lastRenderedPageBreak/>
        <w:t>GP5第13位的R13均未发生变异，在第151位仅GXNN12-2007株发生R151</w:t>
      </w:r>
      <w:r w:rsidRPr="005B4D1E">
        <w:rPr>
          <w:rFonts w:ascii="宋体" w:eastAsia="宋体" w:hAnsi="宋体"/>
          <w:sz w:val="21"/>
          <w:szCs w:val="21"/>
        </w:rPr>
        <w:t>→</w:t>
      </w:r>
      <w:r w:rsidRPr="005B4D1E">
        <w:rPr>
          <w:rFonts w:ascii="宋体" w:eastAsia="宋体" w:hAnsi="宋体" w:hint="eastAsia"/>
          <w:sz w:val="21"/>
          <w:szCs w:val="21"/>
        </w:rPr>
        <w:t>K151的突变。同时，所有毒株均发生A137</w:t>
      </w:r>
      <w:r w:rsidRPr="005B4D1E">
        <w:rPr>
          <w:rFonts w:ascii="宋体" w:eastAsia="宋体" w:hAnsi="宋体"/>
          <w:sz w:val="21"/>
          <w:szCs w:val="21"/>
        </w:rPr>
        <w:t>→</w:t>
      </w:r>
      <w:r w:rsidRPr="005B4D1E">
        <w:rPr>
          <w:rFonts w:ascii="宋体" w:eastAsia="宋体" w:hAnsi="宋体" w:hint="eastAsia"/>
          <w:sz w:val="21"/>
          <w:szCs w:val="21"/>
        </w:rPr>
        <w:t>S137的突变。</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目前已确定的GP5抗原表位中有3个B细胞表位、2个T细胞表位。B细胞表位中，第一个表位(27～30aa)是影响免疫的关键表位，为非中和表位(Neutralization epitope，NE)，又称诱骗表位，本研究所获得的73个毒株大部分发生A29</w:t>
      </w:r>
      <w:r w:rsidRPr="005B4D1E">
        <w:rPr>
          <w:rFonts w:ascii="宋体" w:eastAsia="宋体" w:hAnsi="宋体"/>
          <w:sz w:val="21"/>
          <w:szCs w:val="21"/>
        </w:rPr>
        <w:t>→</w:t>
      </w:r>
      <w:r w:rsidRPr="005B4D1E">
        <w:rPr>
          <w:rFonts w:ascii="宋体" w:eastAsia="宋体" w:hAnsi="宋体" w:hint="eastAsia"/>
          <w:sz w:val="21"/>
          <w:szCs w:val="21"/>
        </w:rPr>
        <w:t>V29突变，少部分发生V27</w:t>
      </w:r>
      <w:r w:rsidRPr="005B4D1E">
        <w:rPr>
          <w:rFonts w:ascii="宋体" w:eastAsia="宋体" w:hAnsi="宋体"/>
          <w:sz w:val="21"/>
          <w:szCs w:val="21"/>
        </w:rPr>
        <w:t>→</w:t>
      </w:r>
      <w:r w:rsidRPr="005B4D1E">
        <w:rPr>
          <w:rFonts w:ascii="宋体" w:eastAsia="宋体" w:hAnsi="宋体" w:hint="eastAsia"/>
          <w:sz w:val="21"/>
          <w:szCs w:val="21"/>
        </w:rPr>
        <w:t>A27突变；第二个表位(37～45aa)是GP5的主要中和表位，除了GXHZH90-2005株发生L39</w:t>
      </w:r>
      <w:r w:rsidRPr="005B4D1E">
        <w:rPr>
          <w:rFonts w:ascii="宋体" w:eastAsia="宋体" w:hAnsi="宋体"/>
          <w:sz w:val="21"/>
          <w:szCs w:val="21"/>
        </w:rPr>
        <w:t>→</w:t>
      </w:r>
      <w:r w:rsidRPr="005B4D1E">
        <w:rPr>
          <w:rFonts w:ascii="宋体" w:eastAsia="宋体" w:hAnsi="宋体" w:hint="eastAsia"/>
          <w:sz w:val="21"/>
          <w:szCs w:val="21"/>
        </w:rPr>
        <w:t>F39突变外，其余毒株均发生L39</w:t>
      </w:r>
      <w:r w:rsidRPr="005B4D1E">
        <w:rPr>
          <w:rFonts w:ascii="宋体" w:eastAsia="宋体" w:hAnsi="宋体"/>
          <w:sz w:val="21"/>
          <w:szCs w:val="21"/>
        </w:rPr>
        <w:t>→</w:t>
      </w:r>
      <w:r w:rsidRPr="005B4D1E">
        <w:rPr>
          <w:rFonts w:ascii="宋体" w:eastAsia="宋体" w:hAnsi="宋体" w:hint="eastAsia"/>
          <w:sz w:val="21"/>
          <w:szCs w:val="21"/>
        </w:rPr>
        <w:t>139突变；第三个表位(180～197aa)是非中和表位，所有毒株均发生I189</w:t>
      </w:r>
      <w:r w:rsidRPr="005B4D1E">
        <w:rPr>
          <w:rFonts w:ascii="宋体" w:eastAsia="宋体" w:hAnsi="宋体"/>
          <w:sz w:val="21"/>
          <w:szCs w:val="21"/>
        </w:rPr>
        <w:t>→</w:t>
      </w:r>
      <w:r w:rsidRPr="005B4D1E">
        <w:rPr>
          <w:rFonts w:ascii="宋体" w:eastAsia="宋体" w:hAnsi="宋体" w:hint="eastAsia"/>
          <w:sz w:val="21"/>
          <w:szCs w:val="21"/>
        </w:rPr>
        <w:t>L189突变，大部分发生V185</w:t>
      </w:r>
      <w:r w:rsidRPr="005B4D1E">
        <w:rPr>
          <w:rFonts w:ascii="宋体" w:eastAsia="宋体" w:hAnsi="宋体"/>
          <w:sz w:val="21"/>
          <w:szCs w:val="21"/>
        </w:rPr>
        <w:t>→</w:t>
      </w:r>
      <w:r w:rsidRPr="005B4D1E">
        <w:rPr>
          <w:rFonts w:ascii="宋体" w:eastAsia="宋体" w:hAnsi="宋体" w:hint="eastAsia"/>
          <w:sz w:val="21"/>
          <w:szCs w:val="21"/>
        </w:rPr>
        <w:t>A185突变。而T细胞表位中，在第一个表位(117～131aa)大部分毒株发生T121</w:t>
      </w:r>
      <w:r w:rsidRPr="005B4D1E">
        <w:rPr>
          <w:rFonts w:ascii="宋体" w:eastAsia="宋体" w:hAnsi="宋体"/>
          <w:sz w:val="21"/>
          <w:szCs w:val="21"/>
        </w:rPr>
        <w:t>→</w:t>
      </w:r>
      <w:r w:rsidRPr="005B4D1E">
        <w:rPr>
          <w:rFonts w:ascii="宋体" w:eastAsia="宋体" w:hAnsi="宋体" w:hint="eastAsia"/>
          <w:sz w:val="21"/>
          <w:szCs w:val="21"/>
        </w:rPr>
        <w:t>I121/V121、所有毒株均发生F127</w:t>
      </w:r>
      <w:r w:rsidRPr="005B4D1E">
        <w:rPr>
          <w:rFonts w:ascii="宋体" w:eastAsia="宋体" w:hAnsi="宋体"/>
          <w:sz w:val="21"/>
          <w:szCs w:val="21"/>
        </w:rPr>
        <w:t>→</w:t>
      </w:r>
      <w:r w:rsidRPr="005B4D1E">
        <w:rPr>
          <w:rFonts w:ascii="宋体" w:eastAsia="宋体" w:hAnsi="宋体" w:hint="eastAsia"/>
          <w:sz w:val="21"/>
          <w:szCs w:val="21"/>
        </w:rPr>
        <w:t>L127的突变，在第二个表位(149～163aa)均发生I161</w:t>
      </w:r>
      <w:r w:rsidRPr="005B4D1E">
        <w:rPr>
          <w:rFonts w:ascii="宋体" w:eastAsia="宋体" w:hAnsi="宋体"/>
          <w:sz w:val="21"/>
          <w:szCs w:val="21"/>
        </w:rPr>
        <w:t>→</w:t>
      </w:r>
      <w:r w:rsidRPr="005B4D1E">
        <w:rPr>
          <w:rFonts w:ascii="宋体" w:eastAsia="宋体" w:hAnsi="宋体" w:hint="eastAsia"/>
          <w:sz w:val="21"/>
          <w:szCs w:val="21"/>
        </w:rPr>
        <w:t>V161的突变。</w:t>
      </w:r>
    </w:p>
    <w:p w:rsidR="009D14A5" w:rsidRPr="005B4D1E" w:rsidRDefault="009D14A5" w:rsidP="003B0360">
      <w:pPr>
        <w:pStyle w:val="a6"/>
        <w:spacing w:before="156"/>
      </w:pPr>
      <w:bookmarkStart w:id="39" w:name="_Toc405816413"/>
      <w:r w:rsidRPr="005B4D1E">
        <w:rPr>
          <w:rFonts w:hint="eastAsia"/>
        </w:rPr>
        <w:t>表</w:t>
      </w:r>
      <w:r w:rsidR="003B0360">
        <w:rPr>
          <w:rFonts w:hint="eastAsia"/>
        </w:rPr>
        <w:t xml:space="preserve">6 </w:t>
      </w:r>
      <w:r w:rsidRPr="005B4D1E">
        <w:rPr>
          <w:rFonts w:hint="eastAsia"/>
        </w:rPr>
        <w:t>ORF5</w:t>
      </w:r>
      <w:r w:rsidRPr="005B4D1E">
        <w:rPr>
          <w:rFonts w:hint="eastAsia"/>
        </w:rPr>
        <w:t>基因推导的氨基酸序列分析</w:t>
      </w:r>
      <w:bookmarkEnd w:id="39"/>
    </w:p>
    <w:p w:rsidR="009D14A5" w:rsidRPr="005B4D1E" w:rsidRDefault="009D14A5" w:rsidP="009D14A5">
      <w:pPr>
        <w:spacing w:line="360" w:lineRule="auto"/>
        <w:jc w:val="center"/>
        <w:rPr>
          <w:rFonts w:ascii="宋体" w:eastAsia="宋体" w:hAnsi="宋体"/>
          <w:b/>
          <w:bCs/>
          <w:sz w:val="21"/>
          <w:szCs w:val="21"/>
        </w:rPr>
      </w:pPr>
      <w:r w:rsidRPr="005B4D1E">
        <w:rPr>
          <w:rFonts w:ascii="宋体" w:eastAsia="宋体" w:hAnsi="宋体"/>
          <w:noProof/>
          <w:sz w:val="21"/>
          <w:szCs w:val="21"/>
        </w:rPr>
        <w:drawing>
          <wp:inline distT="0" distB="0" distL="0" distR="0">
            <wp:extent cx="5270500" cy="4062730"/>
            <wp:effectExtent l="19050" t="0" r="6350" b="0"/>
            <wp:docPr id="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38" cstate="print"/>
                    <a:srcRect/>
                    <a:stretch>
                      <a:fillRect/>
                    </a:stretch>
                  </pic:blipFill>
                  <pic:spPr bwMode="auto">
                    <a:xfrm>
                      <a:off x="0" y="0"/>
                      <a:ext cx="5270500" cy="4062730"/>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注：以VR-2332为参考毒株，留空部分表示氨基酸未发生变异</w:t>
      </w:r>
    </w:p>
    <w:p w:rsidR="009D14A5" w:rsidRPr="005B4D1E" w:rsidRDefault="009D14A5" w:rsidP="005B4D1E">
      <w:pPr>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ORF5基因遗传进化分析：</w:t>
      </w:r>
      <w:r w:rsidRPr="005B4D1E">
        <w:rPr>
          <w:rFonts w:ascii="宋体" w:eastAsia="宋体" w:hAnsi="宋体" w:hint="eastAsia"/>
          <w:sz w:val="21"/>
          <w:szCs w:val="21"/>
        </w:rPr>
        <w:t>基于ORF5基因核苷酸序列绘制的遗传进化树见图</w:t>
      </w:r>
      <w:smartTag w:uri="urn:schemas-microsoft-com:office:smarttags" w:element="chmetcnv">
        <w:smartTagPr>
          <w:attr w:name="TCSC" w:val="0"/>
          <w:attr w:name="NumberType" w:val="1"/>
          <w:attr w:name="Negative" w:val="False"/>
          <w:attr w:name="HasSpace" w:val="False"/>
          <w:attr w:name="SourceValue" w:val="2"/>
          <w:attr w:name="UnitName" w:val="a"/>
        </w:smartTagPr>
        <w:r w:rsidRPr="005B4D1E">
          <w:rPr>
            <w:rFonts w:ascii="宋体" w:eastAsia="宋体" w:hAnsi="宋体" w:hint="eastAsia"/>
            <w:sz w:val="21"/>
            <w:szCs w:val="21"/>
          </w:rPr>
          <w:t>2A</w:t>
        </w:r>
      </w:smartTag>
      <w:r w:rsidRPr="005B4D1E">
        <w:rPr>
          <w:rFonts w:ascii="宋体" w:eastAsia="宋体" w:hAnsi="宋体" w:hint="eastAsia"/>
          <w:sz w:val="21"/>
          <w:szCs w:val="21"/>
        </w:rPr>
        <w:t>。国内外PRRSV毒株可以分为4个亚群：以VR-2332、BJ-4株为代表的I亚群（图</w:t>
      </w:r>
      <w:smartTag w:uri="urn:schemas-microsoft-com:office:smarttags" w:element="chmetcnv">
        <w:smartTagPr>
          <w:attr w:name="TCSC" w:val="0"/>
          <w:attr w:name="NumberType" w:val="1"/>
          <w:attr w:name="Negative" w:val="False"/>
          <w:attr w:name="HasSpace" w:val="False"/>
          <w:attr w:name="SourceValue" w:val="23"/>
          <w:attr w:name="UnitName" w:val="a"/>
        </w:smartTagPr>
        <w:r w:rsidRPr="005B4D1E">
          <w:rPr>
            <w:rFonts w:ascii="宋体" w:eastAsia="宋体" w:hAnsi="宋体" w:hint="eastAsia"/>
            <w:sz w:val="21"/>
            <w:szCs w:val="21"/>
          </w:rPr>
          <w:t>23A</w:t>
        </w:r>
      </w:smartTag>
      <w:r w:rsidRPr="005B4D1E">
        <w:rPr>
          <w:rFonts w:ascii="宋体" w:eastAsia="宋体" w:hAnsi="宋体" w:hint="eastAsia"/>
          <w:sz w:val="21"/>
          <w:szCs w:val="21"/>
        </w:rPr>
        <w:t>中黑色标注部分），以CH-la、HB-2株为代表的II亚群（图</w:t>
      </w:r>
      <w:smartTag w:uri="urn:schemas-microsoft-com:office:smarttags" w:element="chmetcnv">
        <w:smartTagPr>
          <w:attr w:name="TCSC" w:val="0"/>
          <w:attr w:name="NumberType" w:val="1"/>
          <w:attr w:name="Negative" w:val="False"/>
          <w:attr w:name="HasSpace" w:val="False"/>
          <w:attr w:name="SourceValue" w:val="23"/>
          <w:attr w:name="UnitName" w:val="a"/>
        </w:smartTagPr>
        <w:r w:rsidRPr="005B4D1E">
          <w:rPr>
            <w:rFonts w:ascii="宋体" w:eastAsia="宋体" w:hAnsi="宋体" w:hint="eastAsia"/>
            <w:sz w:val="21"/>
            <w:szCs w:val="21"/>
          </w:rPr>
          <w:t>23A</w:t>
        </w:r>
      </w:smartTag>
      <w:r w:rsidRPr="005B4D1E">
        <w:rPr>
          <w:rFonts w:ascii="宋体" w:eastAsia="宋体" w:hAnsi="宋体" w:hint="eastAsia"/>
          <w:sz w:val="21"/>
          <w:szCs w:val="21"/>
        </w:rPr>
        <w:t>中蓝色标注部分），以HB-1株为代表的</w:t>
      </w:r>
      <w:r w:rsidRPr="005B4D1E">
        <w:rPr>
          <w:rFonts w:ascii="宋体" w:eastAsia="宋体" w:hAnsi="宋体" w:hint="eastAsia"/>
          <w:b/>
          <w:bCs/>
          <w:sz w:val="21"/>
          <w:szCs w:val="21"/>
        </w:rPr>
        <w:t>Ⅲ</w:t>
      </w:r>
      <w:r w:rsidRPr="005B4D1E">
        <w:rPr>
          <w:rFonts w:ascii="宋体" w:eastAsia="宋体" w:hAnsi="宋体" w:hint="eastAsia"/>
          <w:sz w:val="21"/>
          <w:szCs w:val="21"/>
        </w:rPr>
        <w:t>亚群（图</w:t>
      </w:r>
      <w:smartTag w:uri="urn:schemas-microsoft-com:office:smarttags" w:element="chmetcnv">
        <w:smartTagPr>
          <w:attr w:name="TCSC" w:val="0"/>
          <w:attr w:name="NumberType" w:val="1"/>
          <w:attr w:name="Negative" w:val="False"/>
          <w:attr w:name="HasSpace" w:val="False"/>
          <w:attr w:name="SourceValue" w:val="23"/>
          <w:attr w:name="UnitName" w:val="a"/>
        </w:smartTagPr>
        <w:r w:rsidRPr="005B4D1E">
          <w:rPr>
            <w:rFonts w:ascii="宋体" w:eastAsia="宋体" w:hAnsi="宋体" w:hint="eastAsia"/>
            <w:sz w:val="21"/>
            <w:szCs w:val="21"/>
          </w:rPr>
          <w:t>23A</w:t>
        </w:r>
      </w:smartTag>
      <w:r w:rsidRPr="005B4D1E">
        <w:rPr>
          <w:rFonts w:ascii="宋体" w:eastAsia="宋体" w:hAnsi="宋体" w:hint="eastAsia"/>
          <w:sz w:val="21"/>
          <w:szCs w:val="21"/>
        </w:rPr>
        <w:t>中绿色标注部分），以JXA1、HUB1株为代表的IV亚群（图</w:t>
      </w:r>
      <w:smartTag w:uri="urn:schemas-microsoft-com:office:smarttags" w:element="chmetcnv">
        <w:smartTagPr>
          <w:attr w:name="TCSC" w:val="0"/>
          <w:attr w:name="NumberType" w:val="1"/>
          <w:attr w:name="Negative" w:val="False"/>
          <w:attr w:name="HasSpace" w:val="False"/>
          <w:attr w:name="SourceValue" w:val="23"/>
          <w:attr w:name="UnitName" w:val="a"/>
        </w:smartTagPr>
        <w:r w:rsidRPr="005B4D1E">
          <w:rPr>
            <w:rFonts w:ascii="宋体" w:eastAsia="宋体" w:hAnsi="宋体" w:hint="eastAsia"/>
            <w:sz w:val="21"/>
            <w:szCs w:val="21"/>
          </w:rPr>
          <w:t>23A</w:t>
        </w:r>
      </w:smartTag>
      <w:r w:rsidRPr="005B4D1E">
        <w:rPr>
          <w:rFonts w:ascii="宋体" w:eastAsia="宋体" w:hAnsi="宋体" w:hint="eastAsia"/>
          <w:sz w:val="21"/>
          <w:szCs w:val="21"/>
        </w:rPr>
        <w:t>中红色标</w:t>
      </w:r>
      <w:r w:rsidRPr="005B4D1E">
        <w:rPr>
          <w:rFonts w:ascii="宋体" w:eastAsia="宋体" w:hAnsi="宋体" w:hint="eastAsia"/>
          <w:sz w:val="21"/>
          <w:szCs w:val="21"/>
        </w:rPr>
        <w:lastRenderedPageBreak/>
        <w:t>注部分）。来自广西的73个毒株，0%(0/73)属于I亚群，1.37%(1/73)属于II亚群，16.44%(12/73)属于</w:t>
      </w:r>
      <w:r w:rsidRPr="005B4D1E">
        <w:rPr>
          <w:rFonts w:ascii="宋体" w:eastAsia="宋体" w:hAnsi="宋体" w:hint="eastAsia"/>
          <w:b/>
          <w:bCs/>
          <w:sz w:val="21"/>
          <w:szCs w:val="21"/>
        </w:rPr>
        <w:t>Ⅲ</w:t>
      </w:r>
      <w:r w:rsidRPr="005B4D1E">
        <w:rPr>
          <w:rFonts w:ascii="宋体" w:eastAsia="宋体" w:hAnsi="宋体" w:hint="eastAsia"/>
          <w:sz w:val="21"/>
          <w:szCs w:val="21"/>
        </w:rPr>
        <w:t>亚群，82.19%(60/73)属于IV亚群，可见广西地区的毒株在II、</w:t>
      </w:r>
      <w:r w:rsidRPr="005B4D1E">
        <w:rPr>
          <w:rFonts w:ascii="宋体" w:eastAsia="宋体" w:hAnsi="宋体" w:hint="eastAsia"/>
          <w:b/>
          <w:bCs/>
          <w:sz w:val="21"/>
          <w:szCs w:val="21"/>
        </w:rPr>
        <w:t>Ⅲ</w:t>
      </w:r>
      <w:r w:rsidRPr="005B4D1E">
        <w:rPr>
          <w:rFonts w:ascii="宋体" w:eastAsia="宋体" w:hAnsi="宋体" w:hint="eastAsia"/>
          <w:sz w:val="21"/>
          <w:szCs w:val="21"/>
        </w:rPr>
        <w:t>、IV亚群均有分布，但以IV亚群为主。</w:t>
      </w:r>
    </w:p>
    <w:p w:rsidR="009D14A5" w:rsidRPr="005B4D1E" w:rsidRDefault="009D14A5" w:rsidP="005B4D1E">
      <w:pPr>
        <w:spacing w:line="360" w:lineRule="auto"/>
        <w:ind w:firstLineChars="200" w:firstLine="420"/>
        <w:jc w:val="center"/>
        <w:rPr>
          <w:rFonts w:ascii="宋体" w:eastAsia="宋体" w:hAnsi="宋体"/>
          <w:sz w:val="21"/>
          <w:szCs w:val="21"/>
        </w:rPr>
      </w:pPr>
      <w:r w:rsidRPr="005B4D1E">
        <w:rPr>
          <w:rFonts w:ascii="宋体" w:eastAsia="宋体" w:hAnsi="宋体"/>
          <w:noProof/>
          <w:sz w:val="21"/>
          <w:szCs w:val="21"/>
        </w:rPr>
        <w:drawing>
          <wp:inline distT="0" distB="0" distL="0" distR="0">
            <wp:extent cx="2855595" cy="4994910"/>
            <wp:effectExtent l="19050" t="0" r="190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39" cstate="print"/>
                    <a:srcRect/>
                    <a:stretch>
                      <a:fillRect/>
                    </a:stretch>
                  </pic:blipFill>
                  <pic:spPr bwMode="auto">
                    <a:xfrm>
                      <a:off x="0" y="0"/>
                      <a:ext cx="2855595" cy="4994910"/>
                    </a:xfrm>
                    <a:prstGeom prst="rect">
                      <a:avLst/>
                    </a:prstGeom>
                    <a:noFill/>
                    <a:ln w="9525">
                      <a:noFill/>
                      <a:miter lim="800000"/>
                      <a:headEnd/>
                      <a:tailEnd/>
                    </a:ln>
                  </pic:spPr>
                </pic:pic>
              </a:graphicData>
            </a:graphic>
          </wp:inline>
        </w:drawing>
      </w:r>
    </w:p>
    <w:p w:rsidR="009D14A5" w:rsidRPr="005B4D1E" w:rsidRDefault="009D14A5" w:rsidP="003B0360">
      <w:pPr>
        <w:pStyle w:val="a5"/>
        <w:spacing w:after="156"/>
      </w:pPr>
      <w:bookmarkStart w:id="40" w:name="_Toc405816327"/>
      <w:r w:rsidRPr="005B4D1E">
        <w:rPr>
          <w:rFonts w:hint="eastAsia"/>
        </w:rPr>
        <w:t>图</w:t>
      </w:r>
      <w:r w:rsidRPr="005B4D1E">
        <w:rPr>
          <w:rFonts w:hint="eastAsia"/>
        </w:rPr>
        <w:t>23</w:t>
      </w:r>
      <w:r w:rsidR="003B0360">
        <w:rPr>
          <w:rFonts w:hint="eastAsia"/>
        </w:rPr>
        <w:t xml:space="preserve"> </w:t>
      </w:r>
      <w:r w:rsidRPr="005B4D1E">
        <w:rPr>
          <w:rFonts w:hint="eastAsia"/>
        </w:rPr>
        <w:t>基于</w:t>
      </w:r>
      <w:r w:rsidRPr="005B4D1E">
        <w:rPr>
          <w:rFonts w:hint="eastAsia"/>
        </w:rPr>
        <w:t>ORF5</w:t>
      </w:r>
      <w:r w:rsidRPr="005B4D1E">
        <w:rPr>
          <w:rFonts w:hint="eastAsia"/>
        </w:rPr>
        <w:t>（</w:t>
      </w:r>
      <w:r w:rsidRPr="005B4D1E">
        <w:rPr>
          <w:rFonts w:hint="eastAsia"/>
        </w:rPr>
        <w:t>A</w:t>
      </w:r>
      <w:r w:rsidRPr="005B4D1E">
        <w:rPr>
          <w:rFonts w:hint="eastAsia"/>
        </w:rPr>
        <w:t>）和</w:t>
      </w:r>
      <w:r w:rsidRPr="005B4D1E">
        <w:rPr>
          <w:rFonts w:hint="eastAsia"/>
        </w:rPr>
        <w:t>ORF7</w:t>
      </w:r>
      <w:r w:rsidRPr="005B4D1E">
        <w:rPr>
          <w:rFonts w:hint="eastAsia"/>
        </w:rPr>
        <w:t>（</w:t>
      </w:r>
      <w:r w:rsidRPr="005B4D1E">
        <w:rPr>
          <w:rFonts w:hint="eastAsia"/>
        </w:rPr>
        <w:t>B</w:t>
      </w:r>
      <w:r w:rsidRPr="005B4D1E">
        <w:rPr>
          <w:rFonts w:hint="eastAsia"/>
        </w:rPr>
        <w:t>）基因核苷酸序列的遗传进化树</w:t>
      </w:r>
      <w:bookmarkEnd w:id="40"/>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ORF7基因同源性分析：</w:t>
      </w:r>
      <w:r w:rsidRPr="005B4D1E">
        <w:rPr>
          <w:rFonts w:ascii="宋体" w:eastAsia="宋体" w:hAnsi="宋体" w:hint="eastAsia"/>
          <w:sz w:val="21"/>
          <w:szCs w:val="21"/>
        </w:rPr>
        <w:t>本研究所获得的81个PRRSV毒株ORF7基因序列均为372bp，编码123个氨基酸。广西毒株间ORF7基因推导的氨基酸序列同源性为87.1%～99.2%，它们与美洲型代表株VR-2332、中国传统毒株Ch-la、高致病性代表株JXA1 ORF7基因推导的氨基酸序列同源性分别为91.1%～96%、91.9%～96%、89.5%～99.2%，而与欧洲型代表株LV ORF7基因推导的氨基酸序列同源性为55.6%～58.1%。</w:t>
      </w:r>
    </w:p>
    <w:p w:rsidR="009D14A5" w:rsidRPr="005B4D1E" w:rsidRDefault="009D14A5" w:rsidP="005B4D1E">
      <w:pPr>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ORF7基因氨基酸序列比对：</w:t>
      </w:r>
      <w:r w:rsidRPr="005B4D1E">
        <w:rPr>
          <w:rFonts w:ascii="宋体" w:eastAsia="宋体" w:hAnsi="宋体" w:hint="eastAsia"/>
          <w:sz w:val="21"/>
          <w:szCs w:val="21"/>
        </w:rPr>
        <w:t>ORF7基因推导的氨基酸位点变异分析见表7。与VR-2332相比，广西毒株大部分发生散在的点突变，其中第11位R</w:t>
      </w:r>
      <w:r w:rsidRPr="005B4D1E">
        <w:rPr>
          <w:rFonts w:ascii="宋体" w:eastAsia="宋体" w:hAnsi="宋体"/>
          <w:sz w:val="21"/>
          <w:szCs w:val="21"/>
        </w:rPr>
        <w:t>→</w:t>
      </w:r>
      <w:r w:rsidRPr="005B4D1E">
        <w:rPr>
          <w:rFonts w:ascii="宋体" w:eastAsia="宋体" w:hAnsi="宋体" w:hint="eastAsia"/>
          <w:sz w:val="21"/>
          <w:szCs w:val="21"/>
        </w:rPr>
        <w:t>K、第15位D</w:t>
      </w:r>
      <w:r w:rsidRPr="005B4D1E">
        <w:rPr>
          <w:rFonts w:ascii="宋体" w:eastAsia="宋体" w:hAnsi="宋体"/>
          <w:sz w:val="21"/>
          <w:szCs w:val="21"/>
        </w:rPr>
        <w:t>→</w:t>
      </w:r>
      <w:r w:rsidRPr="005B4D1E">
        <w:rPr>
          <w:rFonts w:ascii="宋体" w:eastAsia="宋体" w:hAnsi="宋体" w:hint="eastAsia"/>
          <w:sz w:val="21"/>
          <w:szCs w:val="21"/>
        </w:rPr>
        <w:t>N、第46位K</w:t>
      </w:r>
      <w:r w:rsidRPr="005B4D1E">
        <w:rPr>
          <w:rFonts w:ascii="宋体" w:eastAsia="宋体" w:hAnsi="宋体"/>
          <w:sz w:val="21"/>
          <w:szCs w:val="21"/>
        </w:rPr>
        <w:t>→</w:t>
      </w:r>
      <w:r w:rsidRPr="005B4D1E">
        <w:rPr>
          <w:rFonts w:ascii="宋体" w:eastAsia="宋体" w:hAnsi="宋体" w:hint="eastAsia"/>
          <w:sz w:val="21"/>
          <w:szCs w:val="21"/>
        </w:rPr>
        <w:t>R、第91位T</w:t>
      </w:r>
      <w:r w:rsidRPr="005B4D1E">
        <w:rPr>
          <w:rFonts w:ascii="宋体" w:eastAsia="宋体" w:hAnsi="宋体"/>
          <w:sz w:val="21"/>
          <w:szCs w:val="21"/>
        </w:rPr>
        <w:t>→</w:t>
      </w:r>
      <w:r w:rsidRPr="005B4D1E">
        <w:rPr>
          <w:rFonts w:ascii="宋体" w:eastAsia="宋体" w:hAnsi="宋体" w:hint="eastAsia"/>
          <w:sz w:val="21"/>
          <w:szCs w:val="21"/>
        </w:rPr>
        <w:t>A、第109位H</w:t>
      </w:r>
      <w:r w:rsidRPr="005B4D1E">
        <w:rPr>
          <w:rFonts w:ascii="宋体" w:eastAsia="宋体" w:hAnsi="宋体"/>
          <w:sz w:val="21"/>
          <w:szCs w:val="21"/>
        </w:rPr>
        <w:t>→</w:t>
      </w:r>
      <w:r w:rsidRPr="005B4D1E">
        <w:rPr>
          <w:rFonts w:ascii="宋体" w:eastAsia="宋体" w:hAnsi="宋体" w:hint="eastAsia"/>
          <w:sz w:val="21"/>
          <w:szCs w:val="21"/>
        </w:rPr>
        <w:t>Q、第117位V</w:t>
      </w:r>
      <w:r w:rsidRPr="005B4D1E">
        <w:rPr>
          <w:rFonts w:ascii="宋体" w:eastAsia="宋体" w:hAnsi="宋体"/>
          <w:sz w:val="21"/>
          <w:szCs w:val="21"/>
        </w:rPr>
        <w:t>→</w:t>
      </w:r>
      <w:r w:rsidRPr="005B4D1E">
        <w:rPr>
          <w:rFonts w:ascii="宋体" w:eastAsia="宋体" w:hAnsi="宋体" w:hint="eastAsia"/>
          <w:sz w:val="21"/>
          <w:szCs w:val="21"/>
        </w:rPr>
        <w:t>A的突变比较一致，而16-45、55-90、92-108aa则为N蛋白的保守区域。据报道，N蛋白第79-87aa为保守的B细胞表位，本研究所得的81</w:t>
      </w:r>
      <w:r w:rsidRPr="005B4D1E">
        <w:rPr>
          <w:rFonts w:ascii="宋体" w:eastAsia="宋体" w:hAnsi="宋体" w:hint="eastAsia"/>
          <w:sz w:val="21"/>
          <w:szCs w:val="21"/>
        </w:rPr>
        <w:lastRenderedPageBreak/>
        <w:t>个毒株中，GXYL02-2008、GXNN70-2006、GXLCH03-2009株分别发生Q80</w:t>
      </w:r>
      <w:r w:rsidRPr="005B4D1E">
        <w:rPr>
          <w:rFonts w:ascii="宋体" w:eastAsia="宋体" w:hAnsi="宋体"/>
          <w:sz w:val="21"/>
          <w:szCs w:val="21"/>
        </w:rPr>
        <w:t>→</w:t>
      </w:r>
      <w:r w:rsidRPr="005B4D1E">
        <w:rPr>
          <w:rFonts w:ascii="宋体" w:eastAsia="宋体" w:hAnsi="宋体" w:hint="eastAsia"/>
          <w:sz w:val="21"/>
          <w:szCs w:val="21"/>
        </w:rPr>
        <w:t>H80、Q80</w:t>
      </w:r>
      <w:r w:rsidRPr="005B4D1E">
        <w:rPr>
          <w:rFonts w:ascii="宋体" w:eastAsia="宋体" w:hAnsi="宋体"/>
          <w:sz w:val="21"/>
          <w:szCs w:val="21"/>
        </w:rPr>
        <w:t>→</w:t>
      </w:r>
      <w:r w:rsidRPr="005B4D1E">
        <w:rPr>
          <w:rFonts w:ascii="宋体" w:eastAsia="宋体" w:hAnsi="宋体" w:hint="eastAsia"/>
          <w:sz w:val="21"/>
          <w:szCs w:val="21"/>
        </w:rPr>
        <w:t>N80及Q80</w:t>
      </w:r>
      <w:r w:rsidRPr="005B4D1E">
        <w:rPr>
          <w:rFonts w:ascii="宋体" w:eastAsia="宋体" w:hAnsi="宋体"/>
          <w:sz w:val="21"/>
          <w:szCs w:val="21"/>
        </w:rPr>
        <w:t>→</w:t>
      </w:r>
      <w:r w:rsidRPr="005B4D1E">
        <w:rPr>
          <w:rFonts w:ascii="宋体" w:eastAsia="宋体" w:hAnsi="宋体" w:hint="eastAsia"/>
          <w:sz w:val="21"/>
          <w:szCs w:val="21"/>
        </w:rPr>
        <w:t>L80的突变，GXLZH08-2007，GXLZH05-2009株分别发生</w:t>
      </w:r>
    </w:p>
    <w:p w:rsidR="009D14A5" w:rsidRPr="005B4D1E" w:rsidRDefault="009D14A5" w:rsidP="009D14A5">
      <w:pPr>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5270500" cy="828040"/>
            <wp:effectExtent l="19050" t="0" r="6350" b="0"/>
            <wp:docPr id="3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40" cstate="print"/>
                    <a:srcRect/>
                    <a:stretch>
                      <a:fillRect/>
                    </a:stretch>
                  </pic:blipFill>
                  <pic:spPr bwMode="auto">
                    <a:xfrm>
                      <a:off x="0" y="0"/>
                      <a:ext cx="5270500" cy="828040"/>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N84</w:t>
      </w:r>
      <w:r w:rsidRPr="005B4D1E">
        <w:rPr>
          <w:rFonts w:ascii="宋体" w:eastAsia="宋体" w:hAnsi="宋体"/>
          <w:sz w:val="21"/>
          <w:szCs w:val="21"/>
        </w:rPr>
        <w:t>→</w:t>
      </w:r>
      <w:r w:rsidRPr="005B4D1E">
        <w:rPr>
          <w:rFonts w:ascii="宋体" w:eastAsia="宋体" w:hAnsi="宋体" w:hint="eastAsia"/>
          <w:sz w:val="21"/>
          <w:szCs w:val="21"/>
        </w:rPr>
        <w:t>I84、N84</w:t>
      </w:r>
      <w:r w:rsidRPr="005B4D1E">
        <w:rPr>
          <w:rFonts w:ascii="宋体" w:eastAsia="宋体" w:hAnsi="宋体"/>
          <w:sz w:val="21"/>
          <w:szCs w:val="21"/>
        </w:rPr>
        <w:t>→</w:t>
      </w:r>
      <w:r w:rsidRPr="005B4D1E">
        <w:rPr>
          <w:rFonts w:ascii="宋体" w:eastAsia="宋体" w:hAnsi="宋体" w:hint="eastAsia"/>
          <w:sz w:val="21"/>
          <w:szCs w:val="21"/>
        </w:rPr>
        <w:t>S84的突变，其余毒株均未发生突变，可见B细胞表位所在的区域高度保守。</w:t>
      </w:r>
    </w:p>
    <w:p w:rsidR="009D14A5" w:rsidRPr="005B4D1E" w:rsidRDefault="009D14A5" w:rsidP="003B0360">
      <w:pPr>
        <w:pStyle w:val="a6"/>
        <w:spacing w:before="156"/>
      </w:pPr>
      <w:bookmarkStart w:id="41" w:name="_Toc405816414"/>
      <w:r w:rsidRPr="005B4D1E">
        <w:rPr>
          <w:rFonts w:hint="eastAsia"/>
        </w:rPr>
        <w:t>表</w:t>
      </w:r>
      <w:r w:rsidRPr="005B4D1E">
        <w:rPr>
          <w:rFonts w:hint="eastAsia"/>
        </w:rPr>
        <w:t>7 0RF7</w:t>
      </w:r>
      <w:r w:rsidRPr="005B4D1E">
        <w:rPr>
          <w:rFonts w:hint="eastAsia"/>
        </w:rPr>
        <w:t>基因推导的氨基酸序列分析</w:t>
      </w:r>
      <w:bookmarkEnd w:id="41"/>
    </w:p>
    <w:p w:rsidR="009D14A5" w:rsidRPr="005B4D1E" w:rsidRDefault="009D14A5" w:rsidP="009D14A5">
      <w:pPr>
        <w:spacing w:line="360" w:lineRule="auto"/>
        <w:jc w:val="center"/>
        <w:rPr>
          <w:rFonts w:ascii="宋体" w:eastAsia="宋体" w:hAnsi="宋体"/>
          <w:b/>
          <w:bCs/>
          <w:sz w:val="21"/>
          <w:szCs w:val="21"/>
        </w:rPr>
      </w:pPr>
      <w:r w:rsidRPr="005B4D1E">
        <w:rPr>
          <w:rFonts w:ascii="宋体" w:eastAsia="宋体" w:hAnsi="宋体"/>
          <w:noProof/>
          <w:sz w:val="21"/>
          <w:szCs w:val="21"/>
        </w:rPr>
        <w:drawing>
          <wp:inline distT="0" distB="0" distL="0" distR="0">
            <wp:extent cx="4761865" cy="2587625"/>
            <wp:effectExtent l="19050" t="0" r="635" b="0"/>
            <wp:docPr id="3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41" cstate="print"/>
                    <a:srcRect/>
                    <a:stretch>
                      <a:fillRect/>
                    </a:stretch>
                  </pic:blipFill>
                  <pic:spPr bwMode="auto">
                    <a:xfrm>
                      <a:off x="0" y="0"/>
                      <a:ext cx="4761865" cy="2587625"/>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注：以VR-2332为参考毒株，留空部分表示氨基酸未发生变异</w:t>
      </w:r>
    </w:p>
    <w:p w:rsidR="009D14A5" w:rsidRPr="005B4D1E" w:rsidRDefault="009D14A5" w:rsidP="009D14A5">
      <w:pPr>
        <w:spacing w:line="360" w:lineRule="auto"/>
        <w:rPr>
          <w:rFonts w:ascii="宋体" w:eastAsia="宋体" w:hAnsi="宋体"/>
          <w:sz w:val="21"/>
          <w:szCs w:val="21"/>
        </w:rPr>
      </w:pP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ORF7基因遗传进化分析：</w:t>
      </w:r>
      <w:r w:rsidRPr="005B4D1E">
        <w:rPr>
          <w:rFonts w:ascii="宋体" w:eastAsia="宋体" w:hAnsi="宋体" w:hint="eastAsia"/>
          <w:sz w:val="21"/>
          <w:szCs w:val="21"/>
        </w:rPr>
        <w:t>基于ORF7基因核苷酸序列绘制的遗传进化树见图23B。国内外PRRSV毒株可以分为4个亚群：以VR-2332、BJ-4株为代表的I亚群（图23B中黑色标注部分），以CH-la、HB-2株为代表的II亚群（图23B中蓝色标注部分），以HB-1株为代表的III亚群（图23B中绿色标注部分），以JXA1、HUB1株为代表的IV亚群（图23B中红色标注部分）。来自广西地区的81个毒株，1.23%(1/81)属于I亚群，1.23%(1/81)属于II亚群，17.28%(14/81)属于III亚群，80.25%(65/81)属于IV亚群，可见广西的毒株在I、II、III、IV亚群均有分布，但以IV亚群为主。</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小结：为了解广西PRRSV流行毒株的分子遗传进化情况，对2004-2010年间广西PRRSV阳性病料进行ORF5、ORF7基因扩增和序列分析。结果显示，所获得的毒株均属于美洲型毒株，其ORF5基因间的氨基酸序列同源性为89.6%～99.5%，与VR-2332、Ch-la、JXA1株的</w:t>
      </w:r>
      <w:r w:rsidRPr="005B4D1E">
        <w:rPr>
          <w:rFonts w:ascii="宋体" w:eastAsia="宋体" w:hAnsi="宋体" w:hint="eastAsia"/>
          <w:sz w:val="21"/>
          <w:szCs w:val="21"/>
        </w:rPr>
        <w:lastRenderedPageBreak/>
        <w:t>氨基酸序列同源性分别为84.6%～91%、89.6%～95.5%、93%～99%，而与LV的同源性为54.7%～56.7%；ORF7基因间的氨基酸序列同源性为87.1%～99.2%．与VR-2332、Ch-la、JXA1株的氨基酸序列同源性分别为91.1%～96%、91.9%～96%、89.5%～99.2%，而与LV的同源性为55.6%～58.1%。基于ORF5和ORF7基因核苷酸序列绘制的遗传进化树，可将所有PRRSV分离株分为4个亚群，广西的毒株在以VR-2332为代表的I亚群、以CH-la为代表的II亚群、以HB-1为代表的III亚群、以JXA1为代表的IV亚群均有分布，以IV亚群为主。表明，当前广西PRRSV流行毒株以美洲型IV亚群为优势基因亚群，并且各毒株间ORF5和ORF7基因序列存在一定差异，但没有明显的地域特征。</w:t>
      </w:r>
    </w:p>
    <w:p w:rsidR="009D14A5" w:rsidRPr="005B4D1E" w:rsidRDefault="009D14A5" w:rsidP="00206742">
      <w:pPr>
        <w:pStyle w:val="2"/>
      </w:pPr>
      <w:bookmarkStart w:id="42" w:name="_Toc405816275"/>
      <w:r w:rsidRPr="005B4D1E">
        <w:rPr>
          <w:rFonts w:hint="eastAsia"/>
        </w:rPr>
        <w:t>广西</w:t>
      </w:r>
      <w:r w:rsidRPr="005B4D1E">
        <w:rPr>
          <w:rFonts w:hint="eastAsia"/>
        </w:rPr>
        <w:t>PRRSV Nsp2</w:t>
      </w:r>
      <w:r w:rsidRPr="005B4D1E">
        <w:rPr>
          <w:rFonts w:hint="eastAsia"/>
        </w:rPr>
        <w:t>基因的遗传变异分析</w:t>
      </w:r>
      <w:r w:rsidR="00206742">
        <w:rPr>
          <w:rFonts w:hint="eastAsia"/>
        </w:rPr>
        <w:t>研究</w:t>
      </w:r>
      <w:bookmarkEnd w:id="42"/>
    </w:p>
    <w:p w:rsidR="009D14A5" w:rsidRPr="005B4D1E" w:rsidRDefault="009D14A5" w:rsidP="009D14A5">
      <w:pPr>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引物设计与合成：</w:t>
      </w:r>
      <w:r w:rsidRPr="005B4D1E">
        <w:rPr>
          <w:rFonts w:ascii="宋体" w:eastAsia="宋体" w:hAnsi="宋体" w:hint="eastAsia"/>
          <w:sz w:val="21"/>
          <w:szCs w:val="21"/>
        </w:rPr>
        <w:t>参考PRRSV毒株VR-2332(AY150564)、LV(M96262)、JXA1(EF112445)的基因组序列，应用Oligo 6.0软件设计PRRSV欧洲型和美洲型毒株通用检测引物：PRRSV-CF:</w:t>
      </w:r>
      <w:smartTag w:uri="urn:schemas-microsoft-com:office:smarttags" w:element="chmetcnv">
        <w:smartTagPr>
          <w:attr w:name="TCSC" w:val="0"/>
          <w:attr w:name="NumberType" w:val="1"/>
          <w:attr w:name="Negative" w:val="False"/>
          <w:attr w:name="HasSpace" w:val="False"/>
          <w:attr w:name="SourceValue" w:val="5"/>
          <w:attr w:name="UnitName" w:val="’"/>
        </w:smartTagPr>
        <w:r w:rsidRPr="005B4D1E">
          <w:rPr>
            <w:rFonts w:ascii="宋体" w:eastAsia="宋体" w:hAnsi="宋体" w:hint="eastAsia"/>
            <w:sz w:val="21"/>
            <w:szCs w:val="21"/>
          </w:rPr>
          <w:t>5’</w:t>
        </w:r>
      </w:smartTag>
      <w:r w:rsidRPr="005B4D1E">
        <w:rPr>
          <w:rFonts w:ascii="宋体" w:eastAsia="宋体" w:hAnsi="宋体" w:hint="eastAsia"/>
          <w:sz w:val="21"/>
          <w:szCs w:val="21"/>
        </w:rPr>
        <w:t>-ATGGCCAGCCAGTCAATCA</w:t>
      </w:r>
      <w:smartTag w:uri="urn:schemas-microsoft-com:office:smarttags" w:element="chmetcnv">
        <w:smartTagPr>
          <w:attr w:name="TCSC" w:val="0"/>
          <w:attr w:name="NumberType" w:val="1"/>
          <w:attr w:name="Negative" w:val="True"/>
          <w:attr w:name="HasSpace" w:val="False"/>
          <w:attr w:name="SourceValue" w:val="3"/>
          <w:attr w:name="UnitName" w:val="’"/>
        </w:smartTagPr>
        <w:r w:rsidRPr="005B4D1E">
          <w:rPr>
            <w:rFonts w:ascii="宋体" w:eastAsia="宋体" w:hAnsi="宋体" w:hint="eastAsia"/>
            <w:sz w:val="21"/>
            <w:szCs w:val="21"/>
          </w:rPr>
          <w:t>-3</w:t>
        </w:r>
        <w:r w:rsidRPr="005B4D1E">
          <w:rPr>
            <w:rFonts w:ascii="宋体" w:eastAsia="宋体" w:hAnsi="宋体"/>
            <w:sz w:val="21"/>
            <w:szCs w:val="21"/>
          </w:rPr>
          <w:t>’</w:t>
        </w:r>
      </w:smartTag>
      <w:r w:rsidRPr="005B4D1E">
        <w:rPr>
          <w:rFonts w:ascii="宋体" w:eastAsia="宋体" w:hAnsi="宋体" w:hint="eastAsia"/>
          <w:sz w:val="21"/>
          <w:szCs w:val="21"/>
        </w:rPr>
        <w:t>(VR-2332株：14932～14950nt；LV：14653～14671 nt)和PRRSV-CR：</w:t>
      </w:r>
      <w:smartTag w:uri="urn:schemas-microsoft-com:office:smarttags" w:element="chmetcnv">
        <w:smartTagPr>
          <w:attr w:name="TCSC" w:val="0"/>
          <w:attr w:name="NumberType" w:val="1"/>
          <w:attr w:name="Negative" w:val="False"/>
          <w:attr w:name="HasSpace" w:val="False"/>
          <w:attr w:name="SourceValue" w:val="5"/>
          <w:attr w:name="UnitName" w:val="’"/>
        </w:smartTagPr>
        <w:r w:rsidRPr="005B4D1E">
          <w:rPr>
            <w:rFonts w:ascii="宋体" w:eastAsia="宋体" w:hAnsi="宋体" w:hint="eastAsia"/>
            <w:sz w:val="21"/>
            <w:szCs w:val="21"/>
          </w:rPr>
          <w:t>5’</w:t>
        </w:r>
      </w:smartTag>
      <w:r w:rsidRPr="005B4D1E">
        <w:rPr>
          <w:rFonts w:ascii="宋体" w:eastAsia="宋体" w:hAnsi="宋体" w:hint="eastAsia"/>
          <w:sz w:val="21"/>
          <w:szCs w:val="21"/>
        </w:rPr>
        <w:t>-TCGCCCTAATTGAATAGGTG</w:t>
      </w:r>
      <w:smartTag w:uri="urn:schemas-microsoft-com:office:smarttags" w:element="chmetcnv">
        <w:smartTagPr>
          <w:attr w:name="TCSC" w:val="0"/>
          <w:attr w:name="NumberType" w:val="1"/>
          <w:attr w:name="Negative" w:val="True"/>
          <w:attr w:name="HasSpace" w:val="False"/>
          <w:attr w:name="SourceValue" w:val="3"/>
          <w:attr w:name="UnitName" w:val="’"/>
        </w:smartTagPr>
        <w:r w:rsidRPr="005B4D1E">
          <w:rPr>
            <w:rFonts w:ascii="宋体" w:eastAsia="宋体" w:hAnsi="宋体" w:hint="eastAsia"/>
            <w:sz w:val="21"/>
            <w:szCs w:val="21"/>
          </w:rPr>
          <w:t>-3</w:t>
        </w:r>
        <w:r w:rsidRPr="005B4D1E">
          <w:rPr>
            <w:rFonts w:ascii="宋体" w:eastAsia="宋体" w:hAnsi="宋体"/>
            <w:sz w:val="21"/>
            <w:szCs w:val="21"/>
          </w:rPr>
          <w:t>’</w:t>
        </w:r>
      </w:smartTag>
      <w:r w:rsidRPr="005B4D1E">
        <w:rPr>
          <w:rFonts w:ascii="宋体" w:eastAsia="宋体" w:hAnsi="宋体" w:hint="eastAsia"/>
          <w:sz w:val="21"/>
          <w:szCs w:val="21"/>
        </w:rPr>
        <w:t>(VR-2332株：15345～15364nt；LV：15031～15050nt)，预期扩增ORF7基因的目的片段在美洲型毒株为433bp、在欧洲型毒株为398bp。设计美洲型毒株扩增引物：PRRSV-N1-F：</w:t>
      </w:r>
      <w:smartTag w:uri="urn:schemas-microsoft-com:office:smarttags" w:element="chmetcnv">
        <w:smartTagPr>
          <w:attr w:name="TCSC" w:val="0"/>
          <w:attr w:name="NumberType" w:val="1"/>
          <w:attr w:name="Negative" w:val="False"/>
          <w:attr w:name="HasSpace" w:val="False"/>
          <w:attr w:name="SourceValue" w:val="5"/>
          <w:attr w:name="UnitName" w:val="’"/>
        </w:smartTagPr>
        <w:r w:rsidRPr="005B4D1E">
          <w:rPr>
            <w:rFonts w:ascii="宋体" w:eastAsia="宋体" w:hAnsi="宋体" w:hint="eastAsia"/>
            <w:sz w:val="21"/>
            <w:szCs w:val="21"/>
          </w:rPr>
          <w:t>5’</w:t>
        </w:r>
      </w:smartTag>
      <w:r w:rsidRPr="005B4D1E">
        <w:rPr>
          <w:rFonts w:ascii="宋体" w:eastAsia="宋体" w:hAnsi="宋体" w:hint="eastAsia"/>
          <w:sz w:val="21"/>
          <w:szCs w:val="21"/>
        </w:rPr>
        <w:t>-GCGGAGGCTGCAAGTTAATG</w:t>
      </w:r>
      <w:smartTag w:uri="urn:schemas-microsoft-com:office:smarttags" w:element="chmetcnv">
        <w:smartTagPr>
          <w:attr w:name="TCSC" w:val="0"/>
          <w:attr w:name="NumberType" w:val="1"/>
          <w:attr w:name="Negative" w:val="True"/>
          <w:attr w:name="HasSpace" w:val="False"/>
          <w:attr w:name="SourceValue" w:val="3"/>
          <w:attr w:name="UnitName" w:val="’"/>
        </w:smartTagPr>
        <w:r w:rsidRPr="005B4D1E">
          <w:rPr>
            <w:rFonts w:ascii="宋体" w:eastAsia="宋体" w:hAnsi="宋体" w:hint="eastAsia"/>
            <w:sz w:val="21"/>
            <w:szCs w:val="21"/>
          </w:rPr>
          <w:t>-3’</w:t>
        </w:r>
      </w:smartTag>
      <w:r w:rsidRPr="005B4D1E">
        <w:rPr>
          <w:rFonts w:ascii="宋体" w:eastAsia="宋体" w:hAnsi="宋体" w:hint="eastAsia"/>
          <w:sz w:val="21"/>
          <w:szCs w:val="21"/>
        </w:rPr>
        <w:t>(VR-2332株及JXA1株：1110～1129nt)和PRRSV-N1-R：</w:t>
      </w:r>
      <w:smartTag w:uri="urn:schemas-microsoft-com:office:smarttags" w:element="chmetcnv">
        <w:smartTagPr>
          <w:attr w:name="TCSC" w:val="0"/>
          <w:attr w:name="NumberType" w:val="1"/>
          <w:attr w:name="Negative" w:val="False"/>
          <w:attr w:name="HasSpace" w:val="False"/>
          <w:attr w:name="SourceValue" w:val="5"/>
          <w:attr w:name="UnitName" w:val="’"/>
        </w:smartTagPr>
        <w:r w:rsidRPr="005B4D1E">
          <w:rPr>
            <w:rFonts w:ascii="宋体" w:eastAsia="宋体" w:hAnsi="宋体" w:hint="eastAsia"/>
            <w:sz w:val="21"/>
            <w:szCs w:val="21"/>
          </w:rPr>
          <w:t>5’</w:t>
        </w:r>
      </w:smartTag>
      <w:r w:rsidRPr="005B4D1E">
        <w:rPr>
          <w:rFonts w:ascii="宋体" w:eastAsia="宋体" w:hAnsi="宋体" w:hint="eastAsia"/>
          <w:sz w:val="21"/>
          <w:szCs w:val="21"/>
        </w:rPr>
        <w:t>-CTTCCGAACCGTTAGGGACAT</w:t>
      </w:r>
      <w:smartTag w:uri="urn:schemas-microsoft-com:office:smarttags" w:element="chmetcnv">
        <w:smartTagPr>
          <w:attr w:name="TCSC" w:val="0"/>
          <w:attr w:name="NumberType" w:val="1"/>
          <w:attr w:name="Negative" w:val="True"/>
          <w:attr w:name="HasSpace" w:val="False"/>
          <w:attr w:name="SourceValue" w:val="3"/>
          <w:attr w:name="UnitName" w:val="’"/>
        </w:smartTagPr>
        <w:r w:rsidRPr="005B4D1E">
          <w:rPr>
            <w:rFonts w:ascii="宋体" w:eastAsia="宋体" w:hAnsi="宋体" w:hint="eastAsia"/>
            <w:sz w:val="21"/>
            <w:szCs w:val="21"/>
          </w:rPr>
          <w:t>-3’</w:t>
        </w:r>
      </w:smartTag>
      <w:r w:rsidRPr="005B4D1E">
        <w:rPr>
          <w:rFonts w:ascii="宋体" w:eastAsia="宋体" w:hAnsi="宋体" w:hint="eastAsia"/>
          <w:sz w:val="21"/>
          <w:szCs w:val="21"/>
        </w:rPr>
        <w:t>(VR-2332株及JXA1株：2756～2776nt)，预期扩增覆盖美洲型传统毒株及变异毒株部分Nsp2基因的1667bp的目的片段(Nsp2-1)；PRRSV-N2-F：</w:t>
      </w:r>
      <w:smartTag w:uri="urn:schemas-microsoft-com:office:smarttags" w:element="chmetcnv">
        <w:smartTagPr>
          <w:attr w:name="TCSC" w:val="0"/>
          <w:attr w:name="NumberType" w:val="1"/>
          <w:attr w:name="Negative" w:val="False"/>
          <w:attr w:name="HasSpace" w:val="False"/>
          <w:attr w:name="SourceValue" w:val="5"/>
          <w:attr w:name="UnitName" w:val="’"/>
        </w:smartTagPr>
        <w:r w:rsidRPr="005B4D1E">
          <w:rPr>
            <w:rFonts w:ascii="宋体" w:eastAsia="宋体" w:hAnsi="宋体" w:hint="eastAsia"/>
            <w:sz w:val="21"/>
            <w:szCs w:val="21"/>
          </w:rPr>
          <w:t>5’</w:t>
        </w:r>
      </w:smartTag>
      <w:r w:rsidRPr="005B4D1E">
        <w:rPr>
          <w:rFonts w:ascii="宋体" w:eastAsia="宋体" w:hAnsi="宋体" w:hint="eastAsia"/>
          <w:sz w:val="21"/>
          <w:szCs w:val="21"/>
        </w:rPr>
        <w:t>-TTGCCAGAGAGCAAGCCTGTC</w:t>
      </w:r>
      <w:smartTag w:uri="urn:schemas-microsoft-com:office:smarttags" w:element="chmetcnv">
        <w:smartTagPr>
          <w:attr w:name="TCSC" w:val="0"/>
          <w:attr w:name="NumberType" w:val="1"/>
          <w:attr w:name="Negative" w:val="True"/>
          <w:attr w:name="HasSpace" w:val="False"/>
          <w:attr w:name="SourceValue" w:val="3"/>
          <w:attr w:name="UnitName" w:val="’"/>
        </w:smartTagPr>
        <w:r w:rsidRPr="005B4D1E">
          <w:rPr>
            <w:rFonts w:ascii="宋体" w:eastAsia="宋体" w:hAnsi="宋体" w:hint="eastAsia"/>
            <w:sz w:val="21"/>
            <w:szCs w:val="21"/>
          </w:rPr>
          <w:t>-3’</w:t>
        </w:r>
      </w:smartTag>
      <w:r w:rsidRPr="005B4D1E">
        <w:rPr>
          <w:rFonts w:ascii="宋体" w:eastAsia="宋体" w:hAnsi="宋体" w:hint="eastAsia"/>
          <w:sz w:val="21"/>
          <w:szCs w:val="21"/>
        </w:rPr>
        <w:t xml:space="preserve">  (VR-2332株及JXA1株：  2677～2697  nt)和PR_RSV-N2-R：</w:t>
      </w:r>
      <w:smartTag w:uri="urn:schemas-microsoft-com:office:smarttags" w:element="chmetcnv">
        <w:smartTagPr>
          <w:attr w:name="TCSC" w:val="0"/>
          <w:attr w:name="NumberType" w:val="1"/>
          <w:attr w:name="Negative" w:val="False"/>
          <w:attr w:name="HasSpace" w:val="False"/>
          <w:attr w:name="SourceValue" w:val="5"/>
          <w:attr w:name="UnitName" w:val="’"/>
        </w:smartTagPr>
        <w:r w:rsidRPr="005B4D1E">
          <w:rPr>
            <w:rFonts w:ascii="宋体" w:eastAsia="宋体" w:hAnsi="宋体" w:hint="eastAsia"/>
            <w:sz w:val="21"/>
            <w:szCs w:val="21"/>
          </w:rPr>
          <w:t>5’</w:t>
        </w:r>
      </w:smartTag>
      <w:r w:rsidRPr="005B4D1E">
        <w:rPr>
          <w:rFonts w:ascii="宋体" w:eastAsia="宋体" w:hAnsi="宋体" w:hint="eastAsia"/>
          <w:sz w:val="21"/>
          <w:szCs w:val="21"/>
        </w:rPr>
        <w:t>-GCAACAATGCCAAGCCTAAG</w:t>
      </w:r>
      <w:smartTag w:uri="urn:schemas-microsoft-com:office:smarttags" w:element="chmetcnv">
        <w:smartTagPr>
          <w:attr w:name="TCSC" w:val="0"/>
          <w:attr w:name="NumberType" w:val="1"/>
          <w:attr w:name="Negative" w:val="True"/>
          <w:attr w:name="HasSpace" w:val="False"/>
          <w:attr w:name="SourceValue" w:val="3"/>
          <w:attr w:name="UnitName" w:val="’"/>
        </w:smartTagPr>
        <w:r w:rsidRPr="005B4D1E">
          <w:rPr>
            <w:rFonts w:ascii="宋体" w:eastAsia="宋体" w:hAnsi="宋体" w:hint="eastAsia"/>
            <w:sz w:val="21"/>
            <w:szCs w:val="21"/>
          </w:rPr>
          <w:t>-3’</w:t>
        </w:r>
      </w:smartTag>
      <w:r w:rsidRPr="005B4D1E">
        <w:rPr>
          <w:rFonts w:ascii="宋体" w:eastAsia="宋体" w:hAnsi="宋体" w:hint="eastAsia"/>
          <w:sz w:val="21"/>
          <w:szCs w:val="21"/>
        </w:rPr>
        <w:t>(VR-2332株：4306～4325 nt；JXA1株：4216～4235nt)，预期扩增覆盖部分Nsp2基因的目的片段(Nsp2-2)在美洲型传统毒株为1649bp、在美洲型变异毒株为1559bp。</w:t>
      </w:r>
    </w:p>
    <w:p w:rsidR="009D14A5" w:rsidRPr="005B4D1E" w:rsidRDefault="009D14A5" w:rsidP="005B4D1E">
      <w:pPr>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病料组织的检测：</w:t>
      </w:r>
      <w:r w:rsidRPr="005B4D1E">
        <w:rPr>
          <w:rFonts w:ascii="宋体" w:eastAsia="宋体" w:hAnsi="宋体" w:hint="eastAsia"/>
          <w:sz w:val="21"/>
          <w:szCs w:val="21"/>
        </w:rPr>
        <w:t>病料组织来自2008年1月至2011年6月广西各地发病死亡病猪，共2085份。取脾、肺、淋巴结各约</w:t>
      </w:r>
      <w:smartTag w:uri="urn:schemas-microsoft-com:office:smarttags" w:element="chmetcnv">
        <w:smartTagPr>
          <w:attr w:name="TCSC" w:val="0"/>
          <w:attr w:name="NumberType" w:val="1"/>
          <w:attr w:name="Negative" w:val="False"/>
          <w:attr w:name="HasSpace" w:val="False"/>
          <w:attr w:name="SourceValue" w:val="5"/>
          <w:attr w:name="UnitName" w:val="g"/>
        </w:smartTagPr>
        <w:r w:rsidRPr="005B4D1E">
          <w:rPr>
            <w:rFonts w:ascii="宋体" w:eastAsia="宋体" w:hAnsi="宋体" w:hint="eastAsia"/>
            <w:sz w:val="21"/>
            <w:szCs w:val="21"/>
          </w:rPr>
          <w:t>5g</w:t>
        </w:r>
      </w:smartTag>
      <w:r w:rsidRPr="005B4D1E">
        <w:rPr>
          <w:rFonts w:ascii="宋体" w:eastAsia="宋体" w:hAnsi="宋体" w:hint="eastAsia"/>
          <w:sz w:val="21"/>
          <w:szCs w:val="21"/>
        </w:rPr>
        <w:t>，混合研磨后加入PBS(pH7.2)制成20%悬液，反复冻融3次，10000r/min离心10min。取上清，按RNA提取试剂盒操作说明书抽提总RNA，应用PCR试剂盒，利用随机引物9聚体和AMV反转录酶，进行反转录获得cDNA模板。应用PRRSV-CF和PRRSV-CR引物，建立25</w:t>
      </w:r>
      <w:r w:rsidRPr="005B4D1E">
        <w:rPr>
          <w:rFonts w:ascii="宋体" w:eastAsia="宋体" w:hAnsi="宋体"/>
          <w:sz w:val="21"/>
          <w:szCs w:val="21"/>
        </w:rPr>
        <w:t>µ</w:t>
      </w:r>
      <w:r w:rsidRPr="005B4D1E">
        <w:rPr>
          <w:rFonts w:ascii="宋体" w:eastAsia="宋体" w:hAnsi="宋体" w:hint="eastAsia"/>
          <w:sz w:val="21"/>
          <w:szCs w:val="21"/>
        </w:rPr>
        <w:t>L PCR反应体系：5</w:t>
      </w:r>
      <w:r w:rsidRPr="005B4D1E">
        <w:rPr>
          <w:rFonts w:ascii="宋体" w:eastAsia="宋体" w:hAnsi="宋体" w:cs="Arial"/>
          <w:sz w:val="21"/>
          <w:szCs w:val="21"/>
        </w:rPr>
        <w:t>×</w:t>
      </w:r>
      <w:r w:rsidRPr="005B4D1E">
        <w:rPr>
          <w:rFonts w:ascii="宋体" w:eastAsia="宋体" w:hAnsi="宋体" w:hint="eastAsia"/>
          <w:sz w:val="21"/>
          <w:szCs w:val="21"/>
        </w:rPr>
        <w:t>PCR Buffer 5</w:t>
      </w:r>
      <w:r w:rsidRPr="005B4D1E">
        <w:rPr>
          <w:rFonts w:ascii="宋体" w:eastAsia="宋体" w:hAnsi="宋体"/>
          <w:sz w:val="21"/>
          <w:szCs w:val="21"/>
        </w:rPr>
        <w:t>µ</w:t>
      </w:r>
      <w:r w:rsidRPr="005B4D1E">
        <w:rPr>
          <w:rFonts w:ascii="宋体" w:eastAsia="宋体" w:hAnsi="宋体" w:hint="eastAsia"/>
          <w:sz w:val="21"/>
          <w:szCs w:val="21"/>
        </w:rPr>
        <w:t>L、上下游通用检测引物(25pmol/</w:t>
      </w:r>
      <w:r w:rsidRPr="005B4D1E">
        <w:rPr>
          <w:rFonts w:ascii="宋体" w:eastAsia="宋体" w:hAnsi="宋体"/>
          <w:sz w:val="21"/>
          <w:szCs w:val="21"/>
        </w:rPr>
        <w:t>µ</w:t>
      </w:r>
      <w:r w:rsidRPr="005B4D1E">
        <w:rPr>
          <w:rFonts w:ascii="宋体" w:eastAsia="宋体" w:hAnsi="宋体" w:hint="eastAsia"/>
          <w:sz w:val="21"/>
          <w:szCs w:val="21"/>
        </w:rPr>
        <w:t>L)各0.5</w:t>
      </w:r>
      <w:r w:rsidRPr="005B4D1E">
        <w:rPr>
          <w:rFonts w:ascii="宋体" w:eastAsia="宋体" w:hAnsi="宋体"/>
          <w:sz w:val="21"/>
          <w:szCs w:val="21"/>
        </w:rPr>
        <w:t>µ</w:t>
      </w:r>
      <w:r w:rsidRPr="005B4D1E">
        <w:rPr>
          <w:rFonts w:ascii="宋体" w:eastAsia="宋体" w:hAnsi="宋体" w:hint="eastAsia"/>
          <w:sz w:val="21"/>
          <w:szCs w:val="21"/>
        </w:rPr>
        <w:t>L、灭菌蒸馏水13.85</w:t>
      </w:r>
      <w:r w:rsidRPr="005B4D1E">
        <w:rPr>
          <w:rFonts w:ascii="宋体" w:eastAsia="宋体" w:hAnsi="宋体"/>
          <w:sz w:val="21"/>
          <w:szCs w:val="21"/>
        </w:rPr>
        <w:t>µ</w:t>
      </w:r>
      <w:r w:rsidRPr="005B4D1E">
        <w:rPr>
          <w:rFonts w:ascii="宋体" w:eastAsia="宋体" w:hAnsi="宋体" w:hint="eastAsia"/>
          <w:sz w:val="21"/>
          <w:szCs w:val="21"/>
        </w:rPr>
        <w:t>L、Ex Taq聚合酶（5U/</w:t>
      </w:r>
      <w:r w:rsidRPr="005B4D1E">
        <w:rPr>
          <w:rFonts w:ascii="宋体" w:eastAsia="宋体" w:hAnsi="宋体"/>
          <w:sz w:val="21"/>
          <w:szCs w:val="21"/>
        </w:rPr>
        <w:t>µ</w:t>
      </w:r>
      <w:r w:rsidRPr="005B4D1E">
        <w:rPr>
          <w:rFonts w:ascii="宋体" w:eastAsia="宋体" w:hAnsi="宋体" w:hint="eastAsia"/>
          <w:sz w:val="21"/>
          <w:szCs w:val="21"/>
        </w:rPr>
        <w:t>L）0.15</w:t>
      </w:r>
      <w:r w:rsidRPr="005B4D1E">
        <w:rPr>
          <w:rFonts w:ascii="宋体" w:eastAsia="宋体" w:hAnsi="宋体"/>
          <w:sz w:val="21"/>
          <w:szCs w:val="21"/>
        </w:rPr>
        <w:t>µ</w:t>
      </w:r>
      <w:r w:rsidRPr="005B4D1E">
        <w:rPr>
          <w:rFonts w:ascii="宋体" w:eastAsia="宋体" w:hAnsi="宋体" w:hint="eastAsia"/>
          <w:sz w:val="21"/>
          <w:szCs w:val="21"/>
        </w:rPr>
        <w:t>L、cDNA模板5</w:t>
      </w:r>
      <w:r w:rsidRPr="005B4D1E">
        <w:rPr>
          <w:rFonts w:ascii="宋体" w:eastAsia="宋体" w:hAnsi="宋体"/>
          <w:sz w:val="21"/>
          <w:szCs w:val="21"/>
        </w:rPr>
        <w:t>µ</w:t>
      </w:r>
      <w:r w:rsidRPr="005B4D1E">
        <w:rPr>
          <w:rFonts w:ascii="宋体" w:eastAsia="宋体" w:hAnsi="宋体" w:hint="eastAsia"/>
          <w:sz w:val="21"/>
          <w:szCs w:val="21"/>
        </w:rPr>
        <w:t>L。反应程序为：</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smartTag>
      <w:r w:rsidRPr="005B4D1E">
        <w:rPr>
          <w:rFonts w:ascii="宋体" w:eastAsia="宋体" w:hAnsi="宋体" w:hint="eastAsia"/>
          <w:sz w:val="21"/>
          <w:szCs w:val="21"/>
        </w:rPr>
        <w:t>3min；</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smartTag>
      <w:r w:rsidRPr="005B4D1E">
        <w:rPr>
          <w:rFonts w:ascii="宋体" w:eastAsia="宋体" w:hAnsi="宋体" w:hint="eastAsia"/>
          <w:sz w:val="21"/>
          <w:szCs w:val="21"/>
        </w:rPr>
        <w:t>30s，</w:t>
      </w:r>
      <w:smartTag w:uri="urn:schemas-microsoft-com:office:smarttags" w:element="chmetcnv">
        <w:smartTagPr>
          <w:attr w:name="TCSC" w:val="0"/>
          <w:attr w:name="NumberType" w:val="1"/>
          <w:attr w:name="Negative" w:val="False"/>
          <w:attr w:name="HasSpace" w:val="False"/>
          <w:attr w:name="SourceValue" w:val="57"/>
          <w:attr w:name="UnitName" w:val="℃"/>
        </w:smartTagPr>
        <w:r w:rsidRPr="005B4D1E">
          <w:rPr>
            <w:rFonts w:ascii="宋体" w:eastAsia="宋体" w:hAnsi="宋体" w:hint="eastAsia"/>
            <w:sz w:val="21"/>
            <w:szCs w:val="21"/>
          </w:rPr>
          <w:t>57℃</w:t>
        </w:r>
      </w:smartTag>
      <w:r w:rsidRPr="005B4D1E">
        <w:rPr>
          <w:rFonts w:ascii="宋体" w:eastAsia="宋体" w:hAnsi="宋体" w:hint="eastAsia"/>
          <w:sz w:val="21"/>
          <w:szCs w:val="21"/>
        </w:rPr>
        <w:t>30s，</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r w:rsidRPr="005B4D1E">
          <w:rPr>
            <w:rFonts w:ascii="宋体" w:eastAsia="宋体" w:hAnsi="宋体" w:cs="Arial"/>
            <w:sz w:val="21"/>
            <w:szCs w:val="21"/>
          </w:rPr>
          <w:t>℃</w:t>
        </w:r>
      </w:smartTag>
      <w:r w:rsidRPr="005B4D1E">
        <w:rPr>
          <w:rFonts w:ascii="宋体" w:eastAsia="宋体" w:hAnsi="宋体" w:hint="eastAsia"/>
          <w:sz w:val="21"/>
          <w:szCs w:val="21"/>
        </w:rPr>
        <w:t>30s，35个循环；最后</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10min。结果，从2008-2011年间广西各地采集的2085份病料组织中检出PRRSV阳性382份，阳性率为18.3%（见图24）。</w:t>
      </w:r>
    </w:p>
    <w:p w:rsidR="009D14A5" w:rsidRPr="005B4D1E" w:rsidRDefault="009D14A5" w:rsidP="005B4D1E">
      <w:pPr>
        <w:spacing w:line="360" w:lineRule="auto"/>
        <w:ind w:firstLineChars="200" w:firstLine="420"/>
        <w:jc w:val="center"/>
        <w:rPr>
          <w:rFonts w:ascii="宋体" w:eastAsia="宋体" w:hAnsi="宋体"/>
          <w:sz w:val="21"/>
          <w:szCs w:val="21"/>
        </w:rPr>
      </w:pPr>
      <w:r w:rsidRPr="005B4D1E">
        <w:rPr>
          <w:rFonts w:ascii="宋体" w:eastAsia="宋体" w:hAnsi="宋体"/>
          <w:noProof/>
          <w:sz w:val="21"/>
          <w:szCs w:val="21"/>
        </w:rPr>
        <w:lastRenderedPageBreak/>
        <w:drawing>
          <wp:inline distT="0" distB="0" distL="0" distR="0">
            <wp:extent cx="3303905" cy="2122170"/>
            <wp:effectExtent l="1905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42" cstate="print"/>
                    <a:srcRect/>
                    <a:stretch>
                      <a:fillRect/>
                    </a:stretch>
                  </pic:blipFill>
                  <pic:spPr bwMode="auto">
                    <a:xfrm>
                      <a:off x="0" y="0"/>
                      <a:ext cx="3303905" cy="2122170"/>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M：DNA标淮DL1500；1：阳性对照；2～7：临床阳性样品；8：阴性对照</w:t>
      </w:r>
    </w:p>
    <w:p w:rsidR="009D14A5" w:rsidRPr="005B4D1E" w:rsidRDefault="009D14A5" w:rsidP="003B0360">
      <w:pPr>
        <w:pStyle w:val="a5"/>
        <w:spacing w:after="156"/>
      </w:pPr>
      <w:bookmarkStart w:id="43" w:name="_Toc405816328"/>
      <w:r w:rsidRPr="005B4D1E">
        <w:rPr>
          <w:rFonts w:hint="eastAsia"/>
        </w:rPr>
        <w:t>图</w:t>
      </w:r>
      <w:r w:rsidR="003B0360">
        <w:rPr>
          <w:rFonts w:hint="eastAsia"/>
        </w:rPr>
        <w:t xml:space="preserve">24 </w:t>
      </w:r>
      <w:r w:rsidRPr="005B4D1E">
        <w:rPr>
          <w:rFonts w:hint="eastAsia"/>
        </w:rPr>
        <w:t>临床病料组织中</w:t>
      </w:r>
      <w:r w:rsidRPr="005B4D1E">
        <w:rPr>
          <w:rFonts w:hint="eastAsia"/>
        </w:rPr>
        <w:t>PRRSV</w:t>
      </w:r>
      <w:r w:rsidRPr="005B4D1E">
        <w:rPr>
          <w:rFonts w:hint="eastAsia"/>
        </w:rPr>
        <w:t>的</w:t>
      </w:r>
      <w:r w:rsidRPr="005B4D1E">
        <w:rPr>
          <w:rFonts w:hint="eastAsia"/>
        </w:rPr>
        <w:t>RT-PCR</w:t>
      </w:r>
      <w:r w:rsidRPr="005B4D1E">
        <w:rPr>
          <w:rFonts w:hint="eastAsia"/>
        </w:rPr>
        <w:t>检测</w:t>
      </w:r>
      <w:bookmarkEnd w:id="43"/>
    </w:p>
    <w:p w:rsidR="009D14A5" w:rsidRPr="005B4D1E" w:rsidRDefault="009D14A5" w:rsidP="009D14A5">
      <w:pPr>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Nsp2目的片段的克隆及测序：</w:t>
      </w:r>
      <w:r w:rsidRPr="005B4D1E">
        <w:rPr>
          <w:rFonts w:ascii="宋体" w:eastAsia="宋体" w:hAnsi="宋体" w:hint="eastAsia"/>
          <w:sz w:val="21"/>
          <w:szCs w:val="21"/>
        </w:rPr>
        <w:t>随机选取部分经采用通用引物PRRSV-CF/PRRSV-CR进行RT-PCR检测为阳性的样品，以其cDNA为模板，应用引物PRRSV-N1-F/PRRSV-N1-R和PRRSV-N2-F/PRRSV-N2-R，分别扩增Nsp2-1和Nsp2-2片段。建立25</w:t>
      </w:r>
      <w:r w:rsidRPr="005B4D1E">
        <w:rPr>
          <w:rFonts w:ascii="宋体" w:eastAsia="宋体" w:hAnsi="宋体"/>
          <w:sz w:val="21"/>
          <w:szCs w:val="21"/>
        </w:rPr>
        <w:t>µ</w:t>
      </w:r>
      <w:r w:rsidRPr="005B4D1E">
        <w:rPr>
          <w:rFonts w:ascii="宋体" w:eastAsia="宋体" w:hAnsi="宋体" w:hint="eastAsia"/>
          <w:sz w:val="21"/>
          <w:szCs w:val="21"/>
        </w:rPr>
        <w:t>L PCR反应体系，反应程序为：</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r w:rsidRPr="005B4D1E">
          <w:rPr>
            <w:rFonts w:ascii="宋体" w:eastAsia="宋体" w:hAnsi="宋体" w:cs="Arial"/>
            <w:sz w:val="21"/>
            <w:szCs w:val="21"/>
          </w:rPr>
          <w:t>℃</w:t>
        </w:r>
      </w:smartTag>
      <w:r w:rsidRPr="005B4D1E">
        <w:rPr>
          <w:rFonts w:ascii="宋体" w:eastAsia="宋体" w:hAnsi="宋体" w:hint="eastAsia"/>
          <w:sz w:val="21"/>
          <w:szCs w:val="21"/>
        </w:rPr>
        <w:t>3min；</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smartTag>
      <w:r w:rsidRPr="005B4D1E">
        <w:rPr>
          <w:rFonts w:ascii="宋体" w:eastAsia="宋体" w:hAnsi="宋体" w:hint="eastAsia"/>
          <w:sz w:val="21"/>
          <w:szCs w:val="21"/>
        </w:rPr>
        <w:t>45s，</w:t>
      </w:r>
      <w:smartTag w:uri="urn:schemas-microsoft-com:office:smarttags" w:element="chmetcnv">
        <w:smartTagPr>
          <w:attr w:name="TCSC" w:val="0"/>
          <w:attr w:name="NumberType" w:val="1"/>
          <w:attr w:name="Negative" w:val="False"/>
          <w:attr w:name="HasSpace" w:val="False"/>
          <w:attr w:name="SourceValue" w:val="59"/>
          <w:attr w:name="UnitName" w:val="℃"/>
        </w:smartTagPr>
        <w:r w:rsidRPr="005B4D1E">
          <w:rPr>
            <w:rFonts w:ascii="宋体" w:eastAsia="宋体" w:hAnsi="宋体" w:hint="eastAsia"/>
            <w:sz w:val="21"/>
            <w:szCs w:val="21"/>
          </w:rPr>
          <w:t>59℃</w:t>
        </w:r>
      </w:smartTag>
      <w:r w:rsidRPr="005B4D1E">
        <w:rPr>
          <w:rFonts w:ascii="宋体" w:eastAsia="宋体" w:hAnsi="宋体" w:hint="eastAsia"/>
          <w:sz w:val="21"/>
          <w:szCs w:val="21"/>
        </w:rPr>
        <w:t>45s，</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90s，35个循环；最后</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r w:rsidRPr="005B4D1E">
          <w:rPr>
            <w:rFonts w:ascii="宋体" w:eastAsia="宋体" w:hAnsi="宋体" w:cs="Arial"/>
            <w:sz w:val="21"/>
            <w:szCs w:val="21"/>
          </w:rPr>
          <w:t>℃</w:t>
        </w:r>
      </w:smartTag>
      <w:r w:rsidRPr="005B4D1E">
        <w:rPr>
          <w:rFonts w:ascii="宋体" w:eastAsia="宋体" w:hAnsi="宋体" w:hint="eastAsia"/>
          <w:sz w:val="21"/>
          <w:szCs w:val="21"/>
        </w:rPr>
        <w:t>10min。反应结束后，用胶回收试剂盒纯化Nsp2-1和Nsp2-2扩增片段，将其与pMD18-T载体连接，转化DH5</w:t>
      </w:r>
      <w:r w:rsidRPr="005B4D1E">
        <w:rPr>
          <w:rFonts w:ascii="宋体" w:eastAsia="宋体" w:hAnsi="宋体" w:cs="Arial"/>
          <w:sz w:val="21"/>
          <w:szCs w:val="21"/>
        </w:rPr>
        <w:t>α</w:t>
      </w:r>
      <w:r w:rsidRPr="005B4D1E">
        <w:rPr>
          <w:rFonts w:ascii="宋体" w:eastAsia="宋体" w:hAnsi="宋体" w:hint="eastAsia"/>
          <w:sz w:val="21"/>
          <w:szCs w:val="21"/>
        </w:rPr>
        <w:t>感受态细胞。涂板，挑取白色菌落接种于LB液体培养基(Amp</w:t>
      </w:r>
      <w:r w:rsidRPr="005B4D1E">
        <w:rPr>
          <w:rFonts w:ascii="宋体" w:eastAsia="宋体" w:hAnsi="宋体" w:hint="eastAsia"/>
          <w:sz w:val="21"/>
          <w:szCs w:val="21"/>
          <w:vertAlign w:val="superscript"/>
        </w:rPr>
        <w:t>+</w:t>
      </w:r>
      <w:r w:rsidRPr="005B4D1E">
        <w:rPr>
          <w:rFonts w:ascii="宋体" w:eastAsia="宋体" w:hAnsi="宋体" w:hint="eastAsia"/>
          <w:sz w:val="21"/>
          <w:szCs w:val="21"/>
        </w:rPr>
        <w:t xml:space="preserve">) </w:t>
      </w:r>
      <w:smartTag w:uri="urn:schemas-microsoft-com:office:smarttags" w:element="chmetcnv">
        <w:smartTagPr>
          <w:attr w:name="TCSC" w:val="0"/>
          <w:attr w:name="NumberType" w:val="1"/>
          <w:attr w:name="Negative" w:val="False"/>
          <w:attr w:name="HasSpace" w:val="False"/>
          <w:attr w:name="SourceValue" w:val="37"/>
          <w:attr w:name="UnitName" w:val="℃"/>
        </w:smartTagPr>
        <w:r w:rsidRPr="005B4D1E">
          <w:rPr>
            <w:rFonts w:ascii="宋体" w:eastAsia="宋体" w:hAnsi="宋体" w:hint="eastAsia"/>
            <w:sz w:val="21"/>
            <w:szCs w:val="21"/>
          </w:rPr>
          <w:t>37℃</w:t>
        </w:r>
      </w:smartTag>
      <w:r w:rsidRPr="005B4D1E">
        <w:rPr>
          <w:rFonts w:ascii="宋体" w:eastAsia="宋体" w:hAnsi="宋体" w:hint="eastAsia"/>
          <w:sz w:val="21"/>
          <w:szCs w:val="21"/>
        </w:rPr>
        <w:t>摇床培养后，应用质粒DNA小量提取试剂盒提取质粒，经PCR及酶切鉴定后进行测序，获得Nsp2-1和Nsp2-2片段序列（见图25）。应用DNAStar软件包中的MegAlign软件对Nsp2-1和Nsp2-2片段序列进行拼接，获得完整的Nsp2基因序列。在获得49个毒株的Nsp2基因序列中，46个为PRRSV变异毒株，3个为PRRSV经典毒株。</w:t>
      </w:r>
    </w:p>
    <w:p w:rsidR="009D14A5" w:rsidRPr="005B4D1E" w:rsidRDefault="009D14A5" w:rsidP="009D14A5">
      <w:pPr>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4268278" cy="1880559"/>
            <wp:effectExtent l="1905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43" cstate="print"/>
                    <a:srcRect/>
                    <a:stretch>
                      <a:fillRect/>
                    </a:stretch>
                  </pic:blipFill>
                  <pic:spPr bwMode="auto">
                    <a:xfrm>
                      <a:off x="0" y="0"/>
                      <a:ext cx="4270375" cy="1881483"/>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M：DNA标准DL4500；1：PCR产物；2：酶切产物；3：阴性对照</w:t>
      </w:r>
    </w:p>
    <w:p w:rsidR="009D14A5" w:rsidRPr="005B4D1E" w:rsidRDefault="009D14A5" w:rsidP="003B0360">
      <w:pPr>
        <w:pStyle w:val="a5"/>
        <w:spacing w:after="156"/>
      </w:pPr>
      <w:bookmarkStart w:id="44" w:name="_Toc405816329"/>
      <w:r w:rsidRPr="005B4D1E">
        <w:rPr>
          <w:rFonts w:hint="eastAsia"/>
        </w:rPr>
        <w:t>图</w:t>
      </w:r>
      <w:r w:rsidRPr="005B4D1E">
        <w:rPr>
          <w:rFonts w:hint="eastAsia"/>
        </w:rPr>
        <w:t>25</w:t>
      </w:r>
      <w:r w:rsidR="003B0360">
        <w:rPr>
          <w:rFonts w:hint="eastAsia"/>
        </w:rPr>
        <w:t xml:space="preserve"> </w:t>
      </w:r>
      <w:r w:rsidRPr="005B4D1E">
        <w:rPr>
          <w:rFonts w:hint="eastAsia"/>
        </w:rPr>
        <w:t>包含</w:t>
      </w:r>
      <w:r w:rsidRPr="005B4D1E">
        <w:rPr>
          <w:rFonts w:hint="eastAsia"/>
        </w:rPr>
        <w:t>PRRSV</w:t>
      </w:r>
      <w:r w:rsidRPr="005B4D1E">
        <w:rPr>
          <w:rFonts w:hint="eastAsia"/>
        </w:rPr>
        <w:t>变异株和传统株</w:t>
      </w:r>
      <w:r w:rsidRPr="005B4D1E">
        <w:rPr>
          <w:rFonts w:hint="eastAsia"/>
        </w:rPr>
        <w:t>Nsp2-1(A)</w:t>
      </w:r>
      <w:r w:rsidRPr="005B4D1E">
        <w:rPr>
          <w:rFonts w:hint="eastAsia"/>
        </w:rPr>
        <w:t>、变异株</w:t>
      </w:r>
      <w:r w:rsidRPr="005B4D1E">
        <w:rPr>
          <w:rFonts w:hint="eastAsia"/>
        </w:rPr>
        <w:t>Nsp2-2(B)</w:t>
      </w:r>
      <w:r w:rsidRPr="005B4D1E">
        <w:rPr>
          <w:rFonts w:hint="eastAsia"/>
        </w:rPr>
        <w:t>以及传统株</w:t>
      </w:r>
      <w:r w:rsidRPr="005B4D1E">
        <w:rPr>
          <w:rFonts w:hint="eastAsia"/>
        </w:rPr>
        <w:t>Nsp2-2(C)</w:t>
      </w:r>
      <w:r w:rsidRPr="005B4D1E">
        <w:rPr>
          <w:rFonts w:hint="eastAsia"/>
        </w:rPr>
        <w:t>目的片段质粒的鉴定</w:t>
      </w:r>
      <w:bookmarkEnd w:id="44"/>
    </w:p>
    <w:p w:rsidR="009D14A5" w:rsidRPr="005B4D1E" w:rsidRDefault="009D14A5" w:rsidP="009D14A5">
      <w:pPr>
        <w:spacing w:line="360" w:lineRule="auto"/>
        <w:rPr>
          <w:rFonts w:ascii="宋体" w:eastAsia="宋体" w:hAnsi="宋体"/>
          <w:b/>
          <w:bCs/>
          <w:sz w:val="21"/>
          <w:szCs w:val="21"/>
        </w:rPr>
      </w:pPr>
    </w:p>
    <w:p w:rsidR="009D14A5" w:rsidRPr="005B4D1E" w:rsidRDefault="009D14A5" w:rsidP="005B4D1E">
      <w:pPr>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lastRenderedPageBreak/>
        <w:t>Nsp2基因序列的同源性分析：</w:t>
      </w:r>
      <w:r w:rsidRPr="005B4D1E">
        <w:rPr>
          <w:rFonts w:ascii="宋体" w:eastAsia="宋体" w:hAnsi="宋体" w:hint="eastAsia"/>
          <w:sz w:val="21"/>
          <w:szCs w:val="21"/>
        </w:rPr>
        <w:t>将本研究所得的49个毒株与GenBank上发表的50个PRRSV参考毒株（见表8）进行Nsp2基因核苷酸序列及其推导氨基酸序列的同源性分析。结果，广西毒株间核苷酸序列的同源性为84.8%～99.7%，推导氨基酸序列的同源性为89.7%～99.6%；与美洲型代表株VR-2332核苷酸序列的同源性为80.5%～83.7%，推导氨基酸序列的同源性为74.5%～77.9%；与中国传统毒株CH-la核苷酸序列的同源性为89.7%~92.6%，推导氨基酸序列的同源性为84.4%～88.4%；与中国传统毒株HB-1核苷酸序列的同源性为92.4%～96.3%，推导氨基酸序列的同源性为89.0%～94.5%；与高致病性代表株JXA1核苷酸序列的同源性为92.8%～99.3%，推导氨基酸序列的同源性为88.7%～99.3%；与欧洲型代表株LV核苷酸序列的同源性为51.0%～53.9%，推导氨基酸序列的同源性为29.6%-32.5%。表明，2008～2011年间广西PRRSV分离株均为美洲型毒株，各毒株间Nsp2基因序列存在较大的变异，与JXA1株核苷酸序列及其推导氨基酸序列的同源性最高。</w:t>
      </w:r>
    </w:p>
    <w:p w:rsidR="009D14A5" w:rsidRPr="005B4D1E" w:rsidRDefault="009D14A5" w:rsidP="003B0360">
      <w:pPr>
        <w:pStyle w:val="a6"/>
        <w:spacing w:before="156"/>
      </w:pPr>
      <w:bookmarkStart w:id="45" w:name="_Toc405816415"/>
      <w:r w:rsidRPr="005B4D1E">
        <w:rPr>
          <w:rFonts w:hint="eastAsia"/>
        </w:rPr>
        <w:t>表</w:t>
      </w:r>
      <w:r w:rsidRPr="005B4D1E">
        <w:rPr>
          <w:rFonts w:hint="eastAsia"/>
        </w:rPr>
        <w:t>8</w:t>
      </w:r>
      <w:r w:rsidRPr="005B4D1E">
        <w:rPr>
          <w:rFonts w:hint="eastAsia"/>
        </w:rPr>
        <w:t>研究所用的</w:t>
      </w:r>
      <w:r w:rsidRPr="005B4D1E">
        <w:rPr>
          <w:rFonts w:hint="eastAsia"/>
        </w:rPr>
        <w:t>PRRSV</w:t>
      </w:r>
      <w:r w:rsidRPr="005B4D1E">
        <w:rPr>
          <w:rFonts w:hint="eastAsia"/>
        </w:rPr>
        <w:t>参考毒株</w:t>
      </w:r>
      <w:bookmarkEnd w:id="45"/>
    </w:p>
    <w:p w:rsidR="009D14A5" w:rsidRPr="005B4D1E" w:rsidRDefault="009D14A5" w:rsidP="009D14A5">
      <w:pPr>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4606290" cy="5495290"/>
            <wp:effectExtent l="19050" t="0" r="381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44" cstate="print"/>
                    <a:srcRect/>
                    <a:stretch>
                      <a:fillRect/>
                    </a:stretch>
                  </pic:blipFill>
                  <pic:spPr bwMode="auto">
                    <a:xfrm>
                      <a:off x="0" y="0"/>
                      <a:ext cx="4606290" cy="5495290"/>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Nsp2基因推导氨基酸序列的比对分析：</w:t>
      </w:r>
      <w:r w:rsidRPr="005B4D1E">
        <w:rPr>
          <w:rFonts w:ascii="宋体" w:eastAsia="宋体" w:hAnsi="宋体" w:hint="eastAsia"/>
          <w:sz w:val="21"/>
          <w:szCs w:val="21"/>
        </w:rPr>
        <w:t>Nsp2基因推导的主要氨基酸位点变异分析结果见表9、表10。Nsp2蛋白第481位aa和第533～561位aa出现30个氨基酸的不连续缺失是HP-PRRSV的标志。本研究所得的49个毒株中，有46个毒株的Nsp2蛋白均在第481位aa和第533～561位aa出现30个氨基酸的不连续缺失，属于HP-PRRSV，它们在遗传进化树中属于IV亚群（见图5）。其中，GXNN01-2009、GXNN02-2009和GXNN03-2010毒株除了上述的缺失外，GXNN03-2010在第12～14位aa还缺失了3个氨基酸，Nsp2基因序列全长为2841 bp，编码947 aa；GXNN01-2009和GXNN02-2009均在第485～488位aa额外缺失4个氨基酸，Nsp2基因序列全长为2838 bp，编码946 aa；其余43个毒株的Nsp2基因序列全长为2850 bp，编码950 aa。另外，有3个毒株未出现上述30个aa的不连续缺失，它们在遗传进化树中属于III亚群（见图5），其中GXNN07-2009在第468位aa缺失1个氨基酸，Nsp2基因序列全长为2937 bp，编码979 aa；其余2个毒株Nsp2基因序列全长均为2940 bp，编码980 aa，未出现缺失现象；这3个毒株GP5氨基酸序列的第13位和第151位aa均为R，具有强毒株的特征。</w:t>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Allende等发现，PRRSV全基因组序列中，有9个氨基酸的突变与PRRSV的毒力相关，其中4个位于非结构蛋白，5个位于结构蛋白，而4个位于非结构蛋白的毒力相关位点中，有3个位于Nsp2蛋白，它们在VR-2332株全基因组氨基酸序列的位置分别为S</w:t>
      </w:r>
      <w:r w:rsidRPr="005B4D1E">
        <w:rPr>
          <w:rFonts w:ascii="宋体" w:eastAsia="宋体" w:hAnsi="宋体" w:hint="eastAsia"/>
          <w:sz w:val="21"/>
          <w:szCs w:val="21"/>
          <w:vertAlign w:val="superscript"/>
        </w:rPr>
        <w:t>668</w:t>
      </w:r>
      <w:r w:rsidRPr="005B4D1E">
        <w:rPr>
          <w:rFonts w:ascii="宋体" w:eastAsia="宋体" w:hAnsi="宋体" w:hint="eastAsia"/>
          <w:sz w:val="21"/>
          <w:szCs w:val="21"/>
        </w:rPr>
        <w:t>、D</w:t>
      </w:r>
      <w:r w:rsidRPr="005B4D1E">
        <w:rPr>
          <w:rFonts w:ascii="宋体" w:eastAsia="宋体" w:hAnsi="宋体" w:hint="eastAsia"/>
          <w:sz w:val="21"/>
          <w:szCs w:val="21"/>
          <w:vertAlign w:val="superscript"/>
        </w:rPr>
        <w:t>951</w:t>
      </w:r>
      <w:r w:rsidRPr="005B4D1E">
        <w:rPr>
          <w:rFonts w:ascii="宋体" w:eastAsia="宋体" w:hAnsi="宋体" w:hint="eastAsia"/>
          <w:sz w:val="21"/>
          <w:szCs w:val="21"/>
        </w:rPr>
        <w:t>、E</w:t>
      </w:r>
      <w:r w:rsidRPr="005B4D1E">
        <w:rPr>
          <w:rFonts w:ascii="宋体" w:eastAsia="宋体" w:hAnsi="宋体" w:hint="eastAsia"/>
          <w:sz w:val="21"/>
          <w:szCs w:val="21"/>
          <w:vertAlign w:val="superscript"/>
        </w:rPr>
        <w:t>952</w:t>
      </w:r>
      <w:r w:rsidRPr="005B4D1E">
        <w:rPr>
          <w:rFonts w:ascii="宋体" w:eastAsia="宋体" w:hAnsi="宋体" w:hint="eastAsia"/>
          <w:sz w:val="21"/>
          <w:szCs w:val="21"/>
        </w:rPr>
        <w:t>（Nsp2蛋白的相应位置为S</w:t>
      </w:r>
      <w:r w:rsidRPr="005B4D1E">
        <w:rPr>
          <w:rFonts w:ascii="宋体" w:eastAsia="宋体" w:hAnsi="宋体" w:hint="eastAsia"/>
          <w:sz w:val="21"/>
          <w:szCs w:val="21"/>
          <w:vertAlign w:val="superscript"/>
        </w:rPr>
        <w:t>285</w:t>
      </w:r>
      <w:r w:rsidRPr="005B4D1E">
        <w:rPr>
          <w:rFonts w:ascii="宋体" w:eastAsia="宋体" w:hAnsi="宋体" w:hint="eastAsia"/>
          <w:sz w:val="21"/>
          <w:szCs w:val="21"/>
        </w:rPr>
        <w:t>、D</w:t>
      </w:r>
      <w:r w:rsidRPr="005B4D1E">
        <w:rPr>
          <w:rFonts w:ascii="宋体" w:eastAsia="宋体" w:hAnsi="宋体" w:hint="eastAsia"/>
          <w:sz w:val="21"/>
          <w:szCs w:val="21"/>
          <w:vertAlign w:val="superscript"/>
        </w:rPr>
        <w:t>568</w:t>
      </w:r>
      <w:r w:rsidRPr="005B4D1E">
        <w:rPr>
          <w:rFonts w:ascii="宋体" w:eastAsia="宋体" w:hAnsi="宋体" w:hint="eastAsia"/>
          <w:sz w:val="21"/>
          <w:szCs w:val="21"/>
        </w:rPr>
        <w:t>、E</w:t>
      </w:r>
      <w:r w:rsidRPr="005B4D1E">
        <w:rPr>
          <w:rFonts w:ascii="宋体" w:eastAsia="宋体" w:hAnsi="宋体" w:hint="eastAsia"/>
          <w:sz w:val="21"/>
          <w:szCs w:val="21"/>
          <w:vertAlign w:val="superscript"/>
        </w:rPr>
        <w:t>569</w:t>
      </w:r>
      <w:r w:rsidRPr="005B4D1E">
        <w:rPr>
          <w:rFonts w:ascii="宋体" w:eastAsia="宋体" w:hAnsi="宋体" w:hint="eastAsia"/>
          <w:sz w:val="21"/>
          <w:szCs w:val="21"/>
        </w:rPr>
        <w:t>），疫苗株在这3个位点上发生突变，分别由S</w:t>
      </w:r>
      <w:r w:rsidRPr="005B4D1E">
        <w:rPr>
          <w:rFonts w:ascii="宋体" w:eastAsia="宋体" w:hAnsi="宋体" w:hint="eastAsia"/>
          <w:sz w:val="21"/>
          <w:szCs w:val="21"/>
          <w:vertAlign w:val="superscript"/>
        </w:rPr>
        <w:t>668</w:t>
      </w:r>
      <w:r w:rsidRPr="005B4D1E">
        <w:rPr>
          <w:rFonts w:ascii="宋体" w:eastAsia="宋体" w:hAnsi="宋体"/>
          <w:sz w:val="21"/>
          <w:szCs w:val="21"/>
        </w:rPr>
        <w:t>→</w:t>
      </w:r>
      <w:r w:rsidRPr="005B4D1E">
        <w:rPr>
          <w:rFonts w:ascii="宋体" w:eastAsia="宋体" w:hAnsi="宋体" w:hint="eastAsia"/>
          <w:sz w:val="21"/>
          <w:szCs w:val="21"/>
        </w:rPr>
        <w:t>F</w:t>
      </w:r>
      <w:r w:rsidRPr="005B4D1E">
        <w:rPr>
          <w:rFonts w:ascii="宋体" w:eastAsia="宋体" w:hAnsi="宋体" w:hint="eastAsia"/>
          <w:sz w:val="21"/>
          <w:szCs w:val="21"/>
          <w:vertAlign w:val="superscript"/>
        </w:rPr>
        <w:t>668</w:t>
      </w:r>
      <w:r w:rsidRPr="005B4D1E">
        <w:rPr>
          <w:rFonts w:ascii="宋体" w:eastAsia="宋体" w:hAnsi="宋体" w:hint="eastAsia"/>
          <w:sz w:val="21"/>
          <w:szCs w:val="21"/>
        </w:rPr>
        <w:t>、D</w:t>
      </w:r>
      <w:r w:rsidRPr="005B4D1E">
        <w:rPr>
          <w:rFonts w:ascii="宋体" w:eastAsia="宋体" w:hAnsi="宋体" w:hint="eastAsia"/>
          <w:sz w:val="21"/>
          <w:szCs w:val="21"/>
          <w:vertAlign w:val="superscript"/>
        </w:rPr>
        <w:t>951</w:t>
      </w:r>
      <w:r w:rsidRPr="005B4D1E">
        <w:rPr>
          <w:rFonts w:ascii="宋体" w:eastAsia="宋体" w:hAnsi="宋体"/>
          <w:sz w:val="21"/>
          <w:szCs w:val="21"/>
        </w:rPr>
        <w:t>→</w:t>
      </w:r>
      <w:r w:rsidRPr="005B4D1E">
        <w:rPr>
          <w:rFonts w:ascii="宋体" w:eastAsia="宋体" w:hAnsi="宋体" w:hint="eastAsia"/>
          <w:sz w:val="21"/>
          <w:szCs w:val="21"/>
        </w:rPr>
        <w:t>N</w:t>
      </w:r>
      <w:r w:rsidRPr="005B4D1E">
        <w:rPr>
          <w:rFonts w:ascii="宋体" w:eastAsia="宋体" w:hAnsi="宋体" w:hint="eastAsia"/>
          <w:sz w:val="21"/>
          <w:szCs w:val="21"/>
          <w:vertAlign w:val="superscript"/>
        </w:rPr>
        <w:t>951</w:t>
      </w:r>
      <w:r w:rsidRPr="005B4D1E">
        <w:rPr>
          <w:rFonts w:ascii="宋体" w:eastAsia="宋体" w:hAnsi="宋体" w:hint="eastAsia"/>
          <w:sz w:val="21"/>
          <w:szCs w:val="21"/>
        </w:rPr>
        <w:t>和E</w:t>
      </w:r>
      <w:r w:rsidRPr="005B4D1E">
        <w:rPr>
          <w:rFonts w:ascii="宋体" w:eastAsia="宋体" w:hAnsi="宋体" w:hint="eastAsia"/>
          <w:sz w:val="21"/>
          <w:szCs w:val="21"/>
          <w:vertAlign w:val="superscript"/>
        </w:rPr>
        <w:t>952</w:t>
      </w:r>
      <w:r w:rsidRPr="005B4D1E">
        <w:rPr>
          <w:rFonts w:ascii="宋体" w:eastAsia="宋体" w:hAnsi="宋体"/>
          <w:sz w:val="21"/>
          <w:szCs w:val="21"/>
        </w:rPr>
        <w:t>→</w:t>
      </w:r>
      <w:r w:rsidRPr="005B4D1E">
        <w:rPr>
          <w:rFonts w:ascii="宋体" w:eastAsia="宋体" w:hAnsi="宋体" w:hint="eastAsia"/>
          <w:sz w:val="21"/>
          <w:szCs w:val="21"/>
        </w:rPr>
        <w:t>K</w:t>
      </w:r>
      <w:r w:rsidRPr="005B4D1E">
        <w:rPr>
          <w:rFonts w:ascii="宋体" w:eastAsia="宋体" w:hAnsi="宋体" w:hint="eastAsia"/>
          <w:sz w:val="21"/>
          <w:szCs w:val="21"/>
          <w:vertAlign w:val="superscript"/>
        </w:rPr>
        <w:t>952</w:t>
      </w:r>
      <w:r w:rsidRPr="005B4D1E">
        <w:rPr>
          <w:rFonts w:ascii="宋体" w:eastAsia="宋体" w:hAnsi="宋体" w:hint="eastAsia"/>
          <w:sz w:val="21"/>
          <w:szCs w:val="21"/>
        </w:rPr>
        <w:t>。本研究所得49个毒株的Nsp2蛋白，属于III亚群的GXNN07-2009由E</w:t>
      </w:r>
      <w:r w:rsidRPr="005B4D1E">
        <w:rPr>
          <w:rFonts w:ascii="宋体" w:eastAsia="宋体" w:hAnsi="宋体" w:hint="eastAsia"/>
          <w:sz w:val="21"/>
          <w:szCs w:val="21"/>
          <w:vertAlign w:val="superscript"/>
        </w:rPr>
        <w:t>569</w:t>
      </w:r>
      <w:r w:rsidRPr="005B4D1E">
        <w:rPr>
          <w:rFonts w:ascii="宋体" w:eastAsia="宋体" w:hAnsi="宋体"/>
          <w:sz w:val="21"/>
          <w:szCs w:val="21"/>
        </w:rPr>
        <w:t>→</w:t>
      </w:r>
      <w:r w:rsidRPr="005B4D1E">
        <w:rPr>
          <w:rFonts w:ascii="宋体" w:eastAsia="宋体" w:hAnsi="宋体" w:hint="eastAsia"/>
          <w:sz w:val="21"/>
          <w:szCs w:val="21"/>
        </w:rPr>
        <w:t>G</w:t>
      </w:r>
      <w:r w:rsidRPr="005B4D1E">
        <w:rPr>
          <w:rFonts w:ascii="宋体" w:eastAsia="宋体" w:hAnsi="宋体" w:hint="eastAsia"/>
          <w:sz w:val="21"/>
          <w:szCs w:val="21"/>
          <w:vertAlign w:val="superscript"/>
        </w:rPr>
        <w:t>569</w:t>
      </w:r>
      <w:r w:rsidRPr="005B4D1E">
        <w:rPr>
          <w:rFonts w:ascii="宋体" w:eastAsia="宋体" w:hAnsi="宋体" w:hint="eastAsia"/>
          <w:sz w:val="21"/>
          <w:szCs w:val="21"/>
        </w:rPr>
        <w:t>；属于Ⅳ亚群的GXLZH04-2009由S</w:t>
      </w:r>
      <w:r w:rsidRPr="005B4D1E">
        <w:rPr>
          <w:rFonts w:ascii="宋体" w:eastAsia="宋体" w:hAnsi="宋体" w:hint="eastAsia"/>
          <w:sz w:val="21"/>
          <w:szCs w:val="21"/>
          <w:vertAlign w:val="superscript"/>
        </w:rPr>
        <w:t>285</w:t>
      </w:r>
      <w:r w:rsidRPr="005B4D1E">
        <w:rPr>
          <w:rFonts w:ascii="宋体" w:eastAsia="宋体" w:hAnsi="宋体"/>
          <w:sz w:val="21"/>
          <w:szCs w:val="21"/>
        </w:rPr>
        <w:t>→</w:t>
      </w:r>
      <w:r w:rsidRPr="005B4D1E">
        <w:rPr>
          <w:rFonts w:ascii="宋体" w:eastAsia="宋体" w:hAnsi="宋体" w:hint="eastAsia"/>
          <w:sz w:val="21"/>
          <w:szCs w:val="21"/>
        </w:rPr>
        <w:t>P</w:t>
      </w:r>
      <w:r w:rsidRPr="005B4D1E">
        <w:rPr>
          <w:rFonts w:ascii="宋体" w:eastAsia="宋体" w:hAnsi="宋体" w:hint="eastAsia"/>
          <w:sz w:val="21"/>
          <w:szCs w:val="21"/>
          <w:vertAlign w:val="superscript"/>
        </w:rPr>
        <w:t>285</w:t>
      </w:r>
      <w:r w:rsidRPr="005B4D1E">
        <w:rPr>
          <w:rFonts w:ascii="宋体" w:eastAsia="宋体" w:hAnsi="宋体" w:hint="eastAsia"/>
          <w:sz w:val="21"/>
          <w:szCs w:val="21"/>
        </w:rPr>
        <w:t>、  D</w:t>
      </w:r>
      <w:r w:rsidRPr="005B4D1E">
        <w:rPr>
          <w:rFonts w:ascii="宋体" w:eastAsia="宋体" w:hAnsi="宋体" w:hint="eastAsia"/>
          <w:sz w:val="21"/>
          <w:szCs w:val="21"/>
          <w:vertAlign w:val="superscript"/>
        </w:rPr>
        <w:t>568</w:t>
      </w:r>
      <w:r w:rsidRPr="005B4D1E">
        <w:rPr>
          <w:rFonts w:ascii="宋体" w:eastAsia="宋体" w:hAnsi="宋体"/>
          <w:sz w:val="21"/>
          <w:szCs w:val="21"/>
        </w:rPr>
        <w:t>→</w:t>
      </w:r>
      <w:r w:rsidRPr="005B4D1E">
        <w:rPr>
          <w:rFonts w:ascii="宋体" w:eastAsia="宋体" w:hAnsi="宋体" w:hint="eastAsia"/>
          <w:sz w:val="21"/>
          <w:szCs w:val="21"/>
        </w:rPr>
        <w:t>E</w:t>
      </w:r>
      <w:r w:rsidRPr="005B4D1E">
        <w:rPr>
          <w:rFonts w:ascii="宋体" w:eastAsia="宋体" w:hAnsi="宋体" w:hint="eastAsia"/>
          <w:sz w:val="21"/>
          <w:szCs w:val="21"/>
          <w:vertAlign w:val="superscript"/>
        </w:rPr>
        <w:t>568</w:t>
      </w:r>
      <w:r w:rsidRPr="005B4D1E">
        <w:rPr>
          <w:rFonts w:ascii="宋体" w:eastAsia="宋体" w:hAnsi="宋体" w:hint="eastAsia"/>
          <w:sz w:val="21"/>
          <w:szCs w:val="21"/>
        </w:rPr>
        <w:t>，GXLZH01-2010、GXLZH02-2010均由E</w:t>
      </w:r>
      <w:r w:rsidRPr="005B4D1E">
        <w:rPr>
          <w:rFonts w:ascii="宋体" w:eastAsia="宋体" w:hAnsi="宋体" w:hint="eastAsia"/>
          <w:sz w:val="21"/>
          <w:szCs w:val="21"/>
          <w:vertAlign w:val="superscript"/>
        </w:rPr>
        <w:t>569</w:t>
      </w:r>
      <w:r w:rsidRPr="005B4D1E">
        <w:rPr>
          <w:rFonts w:ascii="宋体" w:eastAsia="宋体" w:hAnsi="宋体"/>
          <w:sz w:val="21"/>
          <w:szCs w:val="21"/>
        </w:rPr>
        <w:t>→</w:t>
      </w:r>
      <w:r w:rsidRPr="005B4D1E">
        <w:rPr>
          <w:rFonts w:ascii="宋体" w:eastAsia="宋体" w:hAnsi="宋体" w:hint="eastAsia"/>
          <w:sz w:val="21"/>
          <w:szCs w:val="21"/>
        </w:rPr>
        <w:t>K</w:t>
      </w:r>
      <w:r w:rsidRPr="005B4D1E">
        <w:rPr>
          <w:rFonts w:ascii="宋体" w:eastAsia="宋体" w:hAnsi="宋体" w:hint="eastAsia"/>
          <w:sz w:val="21"/>
          <w:szCs w:val="21"/>
          <w:vertAlign w:val="superscript"/>
        </w:rPr>
        <w:t>569</w:t>
      </w:r>
      <w:r w:rsidRPr="005B4D1E">
        <w:rPr>
          <w:rFonts w:ascii="宋体" w:eastAsia="宋体" w:hAnsi="宋体" w:hint="eastAsia"/>
          <w:sz w:val="21"/>
          <w:szCs w:val="21"/>
        </w:rPr>
        <w:t>；其余毒株在上述位点均未发生突变（见表10）。</w:t>
      </w:r>
    </w:p>
    <w:p w:rsidR="009D14A5" w:rsidRPr="005B4D1E" w:rsidRDefault="009D14A5" w:rsidP="003B0360">
      <w:pPr>
        <w:pStyle w:val="a6"/>
        <w:spacing w:before="156"/>
      </w:pPr>
      <w:bookmarkStart w:id="46" w:name="_Toc405816416"/>
      <w:r w:rsidRPr="005B4D1E">
        <w:rPr>
          <w:rFonts w:hint="eastAsia"/>
        </w:rPr>
        <w:t>表</w:t>
      </w:r>
      <w:r w:rsidR="003B0360">
        <w:rPr>
          <w:rFonts w:hint="eastAsia"/>
        </w:rPr>
        <w:t xml:space="preserve">9 </w:t>
      </w:r>
      <w:r w:rsidRPr="005B4D1E">
        <w:rPr>
          <w:rFonts w:hint="eastAsia"/>
        </w:rPr>
        <w:t>各分离株</w:t>
      </w:r>
      <w:r w:rsidRPr="005B4D1E">
        <w:rPr>
          <w:rFonts w:hint="eastAsia"/>
        </w:rPr>
        <w:t>Nsp2</w:t>
      </w:r>
      <w:r w:rsidRPr="005B4D1E">
        <w:rPr>
          <w:rFonts w:hint="eastAsia"/>
        </w:rPr>
        <w:t>蛋白氨基酸缺失位点</w:t>
      </w:r>
      <w:bookmarkEnd w:id="46"/>
    </w:p>
    <w:p w:rsidR="009D14A5" w:rsidRPr="005B4D1E" w:rsidRDefault="009D14A5" w:rsidP="009D14A5">
      <w:pPr>
        <w:spacing w:line="360" w:lineRule="auto"/>
        <w:jc w:val="center"/>
        <w:rPr>
          <w:rFonts w:ascii="宋体" w:eastAsia="宋体" w:hAnsi="宋体"/>
          <w:b/>
          <w:bCs/>
          <w:sz w:val="21"/>
          <w:szCs w:val="21"/>
        </w:rPr>
      </w:pPr>
      <w:r w:rsidRPr="005B4D1E">
        <w:rPr>
          <w:rFonts w:ascii="宋体" w:eastAsia="宋体" w:hAnsi="宋体"/>
          <w:noProof/>
          <w:sz w:val="21"/>
          <w:szCs w:val="21"/>
        </w:rPr>
        <w:drawing>
          <wp:inline distT="0" distB="0" distL="0" distR="0">
            <wp:extent cx="5270500" cy="2312035"/>
            <wp:effectExtent l="1905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45" cstate="print"/>
                    <a:srcRect/>
                    <a:stretch>
                      <a:fillRect/>
                    </a:stretch>
                  </pic:blipFill>
                  <pic:spPr bwMode="auto">
                    <a:xfrm>
                      <a:off x="0" y="0"/>
                      <a:ext cx="5270500" cy="2312035"/>
                    </a:xfrm>
                    <a:prstGeom prst="rect">
                      <a:avLst/>
                    </a:prstGeom>
                    <a:noFill/>
                    <a:ln w="9525">
                      <a:noFill/>
                      <a:miter lim="800000"/>
                      <a:headEnd/>
                      <a:tailEnd/>
                    </a:ln>
                  </pic:spPr>
                </pic:pic>
              </a:graphicData>
            </a:graphic>
          </wp:inline>
        </w:drawing>
      </w:r>
    </w:p>
    <w:p w:rsidR="009D14A5" w:rsidRPr="005B4D1E" w:rsidRDefault="009D14A5" w:rsidP="009D14A5">
      <w:pPr>
        <w:spacing w:line="360" w:lineRule="auto"/>
        <w:rPr>
          <w:rFonts w:ascii="宋体" w:eastAsia="宋体" w:hAnsi="宋体"/>
          <w:sz w:val="21"/>
          <w:szCs w:val="21"/>
        </w:rPr>
      </w:pPr>
      <w:r w:rsidRPr="005B4D1E">
        <w:rPr>
          <w:rFonts w:ascii="宋体" w:eastAsia="宋体" w:hAnsi="宋体" w:hint="eastAsia"/>
          <w:sz w:val="21"/>
          <w:szCs w:val="21"/>
        </w:rPr>
        <w:t xml:space="preserve">  注：“+”表示该位点存在氨基酸缺失；“-”表示该位点不存在氨基酸缺失</w:t>
      </w:r>
    </w:p>
    <w:p w:rsidR="009D14A5" w:rsidRPr="005B4D1E" w:rsidRDefault="009D14A5" w:rsidP="009D14A5">
      <w:pPr>
        <w:spacing w:line="360" w:lineRule="auto"/>
        <w:rPr>
          <w:rFonts w:ascii="宋体" w:eastAsia="宋体" w:hAnsi="宋体"/>
          <w:sz w:val="21"/>
          <w:szCs w:val="21"/>
        </w:rPr>
      </w:pPr>
    </w:p>
    <w:p w:rsidR="009D14A5" w:rsidRPr="005B4D1E" w:rsidRDefault="009D14A5" w:rsidP="003B0360">
      <w:pPr>
        <w:pStyle w:val="a6"/>
        <w:spacing w:before="156"/>
      </w:pPr>
      <w:bookmarkStart w:id="47" w:name="_Toc405816417"/>
      <w:r w:rsidRPr="005B4D1E">
        <w:rPr>
          <w:rFonts w:hint="eastAsia"/>
        </w:rPr>
        <w:t>表</w:t>
      </w:r>
      <w:r w:rsidR="003B0360">
        <w:rPr>
          <w:rFonts w:hint="eastAsia"/>
        </w:rPr>
        <w:t xml:space="preserve">10 </w:t>
      </w:r>
      <w:r w:rsidRPr="005B4D1E">
        <w:rPr>
          <w:rFonts w:hint="eastAsia"/>
        </w:rPr>
        <w:t>各分离株</w:t>
      </w:r>
      <w:r w:rsidRPr="005B4D1E">
        <w:rPr>
          <w:rFonts w:hint="eastAsia"/>
        </w:rPr>
        <w:t>Nsp2</w:t>
      </w:r>
      <w:r w:rsidRPr="005B4D1E">
        <w:rPr>
          <w:rFonts w:hint="eastAsia"/>
        </w:rPr>
        <w:t>蛋白与毒力相关氨基酸位点的变异分析</w:t>
      </w:r>
      <w:bookmarkEnd w:id="47"/>
    </w:p>
    <w:p w:rsidR="009D14A5" w:rsidRPr="005B4D1E" w:rsidRDefault="009D14A5" w:rsidP="009D14A5">
      <w:pPr>
        <w:spacing w:line="360" w:lineRule="auto"/>
        <w:rPr>
          <w:rFonts w:ascii="宋体" w:eastAsia="宋体" w:hAnsi="宋体"/>
          <w:sz w:val="21"/>
          <w:szCs w:val="21"/>
        </w:rPr>
      </w:pPr>
      <w:r w:rsidRPr="005B4D1E">
        <w:rPr>
          <w:rFonts w:ascii="宋体" w:eastAsia="宋体" w:hAnsi="宋体"/>
          <w:noProof/>
          <w:sz w:val="21"/>
          <w:szCs w:val="21"/>
        </w:rPr>
        <w:drawing>
          <wp:inline distT="0" distB="0" distL="0" distR="0">
            <wp:extent cx="4692650" cy="1880870"/>
            <wp:effectExtent l="1905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46" cstate="print"/>
                    <a:srcRect/>
                    <a:stretch>
                      <a:fillRect/>
                    </a:stretch>
                  </pic:blipFill>
                  <pic:spPr bwMode="auto">
                    <a:xfrm>
                      <a:off x="0" y="0"/>
                      <a:ext cx="4692650" cy="1880870"/>
                    </a:xfrm>
                    <a:prstGeom prst="rect">
                      <a:avLst/>
                    </a:prstGeom>
                    <a:noFill/>
                    <a:ln w="9525">
                      <a:noFill/>
                      <a:miter lim="800000"/>
                      <a:headEnd/>
                      <a:tailEnd/>
                    </a:ln>
                  </pic:spPr>
                </pic:pic>
              </a:graphicData>
            </a:graphic>
          </wp:inline>
        </w:drawing>
      </w:r>
    </w:p>
    <w:p w:rsidR="009D14A5" w:rsidRPr="005B4D1E" w:rsidRDefault="009D14A5" w:rsidP="009D14A5">
      <w:pPr>
        <w:tabs>
          <w:tab w:val="left" w:pos="7597"/>
        </w:tabs>
        <w:spacing w:line="360" w:lineRule="auto"/>
        <w:rPr>
          <w:rFonts w:ascii="宋体" w:eastAsia="宋体" w:hAnsi="宋体"/>
          <w:sz w:val="21"/>
          <w:szCs w:val="21"/>
        </w:rPr>
      </w:pPr>
    </w:p>
    <w:p w:rsidR="009D14A5" w:rsidRPr="005B4D1E" w:rsidRDefault="009D14A5" w:rsidP="005B4D1E">
      <w:pPr>
        <w:tabs>
          <w:tab w:val="left" w:pos="7597"/>
        </w:tabs>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Nsp2基因序列的遗传进化分析：</w:t>
      </w:r>
      <w:r w:rsidRPr="005B4D1E">
        <w:rPr>
          <w:rFonts w:ascii="宋体" w:eastAsia="宋体" w:hAnsi="宋体" w:hint="eastAsia"/>
          <w:sz w:val="21"/>
          <w:szCs w:val="21"/>
        </w:rPr>
        <w:t>基于Nsp2基因核苷酸序列绘制的遗传进化树见图26。国内外美洲型PRRSV可分为4个亚群：以VR-2332株为代表的I亚群（图26中黑色标注部分），以CH-la株为代表的II亚群（图26中绿色标注部分），以HB-1株为代表的III亚群（图26中蓝色标注部分），以JXA1株为代表的IV亚群（图26中红色标注部分）。来自广西的49个毒株，6.12%(3/49)属于III亚群，93.88%(46/49)属于IV亚群，无毒株分布在I亚群、II亚群。表明，2008～2011年广西PRRSV流行毒株既有美洲型传统毒株、也有美洲型变异毒株，但以高致病性变异株JXA1为代表的IV亚群为主。</w:t>
      </w:r>
    </w:p>
    <w:p w:rsidR="009D14A5" w:rsidRPr="005B4D1E" w:rsidRDefault="009D14A5" w:rsidP="005B4D1E">
      <w:pPr>
        <w:tabs>
          <w:tab w:val="left" w:pos="7597"/>
        </w:tabs>
        <w:spacing w:line="360" w:lineRule="auto"/>
        <w:ind w:firstLineChars="200" w:firstLine="420"/>
        <w:jc w:val="center"/>
        <w:rPr>
          <w:rFonts w:ascii="宋体" w:eastAsia="宋体" w:hAnsi="宋体"/>
          <w:sz w:val="21"/>
          <w:szCs w:val="21"/>
        </w:rPr>
      </w:pPr>
      <w:r w:rsidRPr="005B4D1E">
        <w:rPr>
          <w:rFonts w:ascii="宋体" w:eastAsia="宋体" w:hAnsi="宋体"/>
          <w:noProof/>
          <w:sz w:val="21"/>
          <w:szCs w:val="21"/>
        </w:rPr>
        <w:drawing>
          <wp:inline distT="0" distB="0" distL="0" distR="0">
            <wp:extent cx="3459480" cy="3355975"/>
            <wp:effectExtent l="19050" t="0" r="762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47" cstate="print"/>
                    <a:srcRect/>
                    <a:stretch>
                      <a:fillRect/>
                    </a:stretch>
                  </pic:blipFill>
                  <pic:spPr bwMode="auto">
                    <a:xfrm>
                      <a:off x="0" y="0"/>
                      <a:ext cx="3459480" cy="3355975"/>
                    </a:xfrm>
                    <a:prstGeom prst="rect">
                      <a:avLst/>
                    </a:prstGeom>
                    <a:noFill/>
                    <a:ln w="9525">
                      <a:noFill/>
                      <a:miter lim="800000"/>
                      <a:headEnd/>
                      <a:tailEnd/>
                    </a:ln>
                  </pic:spPr>
                </pic:pic>
              </a:graphicData>
            </a:graphic>
          </wp:inline>
        </w:drawing>
      </w:r>
    </w:p>
    <w:p w:rsidR="009D14A5" w:rsidRPr="005B4D1E" w:rsidRDefault="009D14A5" w:rsidP="003B0360">
      <w:pPr>
        <w:pStyle w:val="a5"/>
        <w:spacing w:after="156"/>
      </w:pPr>
      <w:bookmarkStart w:id="48" w:name="_Toc405816330"/>
      <w:r w:rsidRPr="005B4D1E">
        <w:rPr>
          <w:rFonts w:hint="eastAsia"/>
        </w:rPr>
        <w:t>图</w:t>
      </w:r>
      <w:r w:rsidR="003B0360">
        <w:rPr>
          <w:rFonts w:hint="eastAsia"/>
        </w:rPr>
        <w:t xml:space="preserve">26 </w:t>
      </w:r>
      <w:r w:rsidRPr="005B4D1E">
        <w:rPr>
          <w:rFonts w:hint="eastAsia"/>
        </w:rPr>
        <w:t>基于</w:t>
      </w:r>
      <w:r w:rsidRPr="005B4D1E">
        <w:rPr>
          <w:rFonts w:hint="eastAsia"/>
        </w:rPr>
        <w:t>Nsp2</w:t>
      </w:r>
      <w:r w:rsidRPr="005B4D1E">
        <w:rPr>
          <w:rFonts w:hint="eastAsia"/>
        </w:rPr>
        <w:t>基因核苷酸序列的遗传进化树</w:t>
      </w:r>
      <w:bookmarkEnd w:id="48"/>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lastRenderedPageBreak/>
        <w:t xml:space="preserve">    小结：为了解广西PRRSV流行毒株的遗传变异情况，对2008-2011年间来自广西各地的部分PRRSV阳性病料进行Nsp2基因的扩增和测序分析。结果显示，所获得的49个毒株均为美洲型毒株，其中46株具有HP-PRRSV的序列特征，即其Nsp2蛋白缺失第481位aa和第533～561位aa，其余3株不具有上述缺失，属于PRRSV经典毒株。广西49个毒株Nsp2基因间的核苷酸序列及其推导氨基酸序列的同源性为84.8%～99.7%和89.7%～99.6%；与VR-2332、CH-la、HB-1及JXA1株的核苷酸序列及其推导氨基酸序列的同源性分别为80.5%～83.7%和74.5%～77.9%、89.7%～92.6%和84.4%～88.4%、92.4%～96.3%和89.0%～94.5%、92.8%～99.3%和88.7%～99.3%，而与LV株核苷酸序列及其推导氨基酸序列的同源性仅为51.0%～53.9%和29.6%～32.5%。基于Nsp2基因核苷酸序列所绘制的遗传进化树，可将所有美洲型PRRSV毒株分为4个亚群，广西的49个毒株有3株分布在以HB-1株为代表的III亚群，46株分布在以JXA1株为代表的IV亚群。表明，当前广西PRRSV流行毒株均为美洲型毒株，并且以IV亚群为优势基因亚群，各毒株间的Nsp2基因序列存在一定的差异，但没有明显的地域特征。</w:t>
      </w:r>
    </w:p>
    <w:p w:rsidR="009D14A5" w:rsidRPr="005B4D1E" w:rsidRDefault="009D14A5" w:rsidP="00206742">
      <w:pPr>
        <w:pStyle w:val="2"/>
      </w:pPr>
      <w:bookmarkStart w:id="49" w:name="_Toc405816276"/>
      <w:r w:rsidRPr="005B4D1E">
        <w:rPr>
          <w:rFonts w:hint="eastAsia"/>
        </w:rPr>
        <w:t>HP-PRRSV</w:t>
      </w:r>
      <w:r w:rsidRPr="005B4D1E">
        <w:rPr>
          <w:rFonts w:hint="eastAsia"/>
        </w:rPr>
        <w:t>广西地方株的分离鉴定及其全基因组分子特征分析</w:t>
      </w:r>
      <w:r w:rsidR="00206742">
        <w:rPr>
          <w:rFonts w:hint="eastAsia"/>
        </w:rPr>
        <w:t>研究</w:t>
      </w:r>
      <w:bookmarkEnd w:id="49"/>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PRRSV广西地方株的分离和鉴定：</w:t>
      </w:r>
      <w:r w:rsidRPr="005B4D1E">
        <w:rPr>
          <w:rFonts w:ascii="宋体" w:eastAsia="宋体" w:hAnsi="宋体" w:hint="eastAsia"/>
          <w:sz w:val="21"/>
          <w:szCs w:val="21"/>
        </w:rPr>
        <w:t>采集临床发病死亡猪的肺脏、脾脏、淋巴结，研磨后加入PBS(pH7.2)，反复冻融3次，取上清接种Marc-145细胞，置</w:t>
      </w:r>
      <w:smartTag w:uri="urn:schemas-microsoft-com:office:smarttags" w:element="chmetcnv">
        <w:smartTagPr>
          <w:attr w:name="TCSC" w:val="0"/>
          <w:attr w:name="NumberType" w:val="1"/>
          <w:attr w:name="Negative" w:val="False"/>
          <w:attr w:name="HasSpace" w:val="False"/>
          <w:attr w:name="SourceValue" w:val="37"/>
          <w:attr w:name="UnitName" w:val="℃"/>
        </w:smartTagPr>
        <w:r w:rsidRPr="005B4D1E">
          <w:rPr>
            <w:rFonts w:ascii="宋体" w:eastAsia="宋体" w:hAnsi="宋体" w:hint="eastAsia"/>
            <w:sz w:val="21"/>
            <w:szCs w:val="21"/>
          </w:rPr>
          <w:t>37℃</w:t>
        </w:r>
      </w:smartTag>
      <w:r w:rsidRPr="005B4D1E">
        <w:rPr>
          <w:rFonts w:ascii="宋体" w:eastAsia="宋体" w:hAnsi="宋体" w:hint="eastAsia"/>
          <w:sz w:val="21"/>
          <w:szCs w:val="21"/>
        </w:rPr>
        <w:t>5%C0</w:t>
      </w:r>
      <w:r w:rsidRPr="005B4D1E">
        <w:rPr>
          <w:rFonts w:ascii="宋体" w:eastAsia="宋体" w:hAnsi="宋体" w:hint="eastAsia"/>
          <w:sz w:val="21"/>
          <w:szCs w:val="21"/>
          <w:vertAlign w:val="subscript"/>
        </w:rPr>
        <w:t>2</w:t>
      </w:r>
      <w:r w:rsidRPr="005B4D1E">
        <w:rPr>
          <w:rFonts w:ascii="宋体" w:eastAsia="宋体" w:hAnsi="宋体" w:hint="eastAsia"/>
          <w:sz w:val="21"/>
          <w:szCs w:val="21"/>
        </w:rPr>
        <w:t>培养，每日观察细胞病变(CPE)。结果，有3份病料在接种后2-3代出现典型CPE（见图27），主要表现细胞聚集、圆缩、固缩、最后脱落。</w:t>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收获细胞培养物，反复冻融3次，取上清，利用RNA提取试剂盒抽提总RNA，以此为模板应用AMV反转录酶反转录获得cDNA。应用PRRSV欧洲型和美洲型毒株通用检测引物：PRRSV-CF：</w:t>
      </w:r>
      <w:smartTag w:uri="urn:schemas-microsoft-com:office:smarttags" w:element="chmetcnv">
        <w:smartTagPr>
          <w:attr w:name="TCSC" w:val="0"/>
          <w:attr w:name="NumberType" w:val="1"/>
          <w:attr w:name="Negative" w:val="False"/>
          <w:attr w:name="HasSpace" w:val="False"/>
          <w:attr w:name="SourceValue" w:val="5"/>
          <w:attr w:name="UnitName" w:val="’"/>
        </w:smartTagPr>
        <w:r w:rsidRPr="005B4D1E">
          <w:rPr>
            <w:rFonts w:ascii="宋体" w:eastAsia="宋体" w:hAnsi="宋体" w:hint="eastAsia"/>
            <w:sz w:val="21"/>
            <w:szCs w:val="21"/>
          </w:rPr>
          <w:t>5’</w:t>
        </w:r>
      </w:smartTag>
      <w:r w:rsidRPr="005B4D1E">
        <w:rPr>
          <w:rFonts w:ascii="宋体" w:eastAsia="宋体" w:hAnsi="宋体" w:hint="eastAsia"/>
          <w:sz w:val="21"/>
          <w:szCs w:val="21"/>
        </w:rPr>
        <w:t>-ATGGCCAGCCAGTCAATCA</w:t>
      </w:r>
      <w:smartTag w:uri="urn:schemas-microsoft-com:office:smarttags" w:element="chmetcnv">
        <w:smartTagPr>
          <w:attr w:name="TCSC" w:val="0"/>
          <w:attr w:name="NumberType" w:val="1"/>
          <w:attr w:name="Negative" w:val="True"/>
          <w:attr w:name="HasSpace" w:val="False"/>
          <w:attr w:name="SourceValue" w:val="3"/>
          <w:attr w:name="UnitName" w:val="’"/>
        </w:smartTagPr>
        <w:r w:rsidRPr="005B4D1E">
          <w:rPr>
            <w:rFonts w:ascii="宋体" w:eastAsia="宋体" w:hAnsi="宋体" w:hint="eastAsia"/>
            <w:sz w:val="21"/>
            <w:szCs w:val="21"/>
          </w:rPr>
          <w:t>-3’</w:t>
        </w:r>
      </w:smartTag>
      <w:r w:rsidRPr="005B4D1E">
        <w:rPr>
          <w:rFonts w:ascii="宋体" w:eastAsia="宋体" w:hAnsi="宋体" w:hint="eastAsia"/>
          <w:sz w:val="21"/>
          <w:szCs w:val="21"/>
        </w:rPr>
        <w:t>(VR-2332株：14932～14950nt；LV：14653～14671 nt)和PRRSV-CR：</w:t>
      </w:r>
      <w:smartTag w:uri="urn:schemas-microsoft-com:office:smarttags" w:element="chmetcnv">
        <w:smartTagPr>
          <w:attr w:name="TCSC" w:val="0"/>
          <w:attr w:name="NumberType" w:val="1"/>
          <w:attr w:name="Negative" w:val="False"/>
          <w:attr w:name="HasSpace" w:val="False"/>
          <w:attr w:name="SourceValue" w:val="5"/>
          <w:attr w:name="UnitName" w:val="’"/>
        </w:smartTagPr>
        <w:r w:rsidRPr="005B4D1E">
          <w:rPr>
            <w:rFonts w:ascii="宋体" w:eastAsia="宋体" w:hAnsi="宋体" w:hint="eastAsia"/>
            <w:sz w:val="21"/>
            <w:szCs w:val="21"/>
          </w:rPr>
          <w:t>5’</w:t>
        </w:r>
      </w:smartTag>
      <w:r w:rsidRPr="005B4D1E">
        <w:rPr>
          <w:rFonts w:ascii="宋体" w:eastAsia="宋体" w:hAnsi="宋体" w:hint="eastAsia"/>
          <w:sz w:val="21"/>
          <w:szCs w:val="21"/>
        </w:rPr>
        <w:t>-TCGCCCTAATTGAATAGGTG</w:t>
      </w:r>
      <w:smartTag w:uri="urn:schemas-microsoft-com:office:smarttags" w:element="chmetcnv">
        <w:smartTagPr>
          <w:attr w:name="TCSC" w:val="0"/>
          <w:attr w:name="NumberType" w:val="1"/>
          <w:attr w:name="Negative" w:val="True"/>
          <w:attr w:name="HasSpace" w:val="False"/>
          <w:attr w:name="SourceValue" w:val="3"/>
          <w:attr w:name="UnitName" w:val="’"/>
        </w:smartTagPr>
        <w:r w:rsidRPr="005B4D1E">
          <w:rPr>
            <w:rFonts w:ascii="宋体" w:eastAsia="宋体" w:hAnsi="宋体" w:hint="eastAsia"/>
            <w:sz w:val="21"/>
            <w:szCs w:val="21"/>
          </w:rPr>
          <w:t>-3</w:t>
        </w:r>
        <w:r w:rsidRPr="005B4D1E">
          <w:rPr>
            <w:rFonts w:ascii="宋体" w:eastAsia="宋体" w:hAnsi="宋体"/>
            <w:sz w:val="21"/>
            <w:szCs w:val="21"/>
          </w:rPr>
          <w:t>’</w:t>
        </w:r>
      </w:smartTag>
      <w:r w:rsidRPr="005B4D1E">
        <w:rPr>
          <w:rFonts w:ascii="宋体" w:eastAsia="宋体" w:hAnsi="宋体" w:hint="eastAsia"/>
          <w:sz w:val="21"/>
          <w:szCs w:val="21"/>
        </w:rPr>
        <w:t>(VR-2332株：15345～15364 nt；LV：15031～15050 nt)．扩增ORF7基因，经琼脂糖凝胶电泳，获得大约433 bp的目的片段（图28）。</w:t>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对获得的3株PRRSV分离株进行间接荧光抗体试验(IFA)鉴定。具体操作如下：于6孔细胞培养板中放入盖玻片，加入Marc-145细胞悬液培养成单层后，接种第3代细胞毒，</w:t>
      </w:r>
      <w:smartTag w:uri="urn:schemas-microsoft-com:office:smarttags" w:element="chmetcnv">
        <w:smartTagPr>
          <w:attr w:name="TCSC" w:val="0"/>
          <w:attr w:name="NumberType" w:val="1"/>
          <w:attr w:name="Negative" w:val="False"/>
          <w:attr w:name="HasSpace" w:val="False"/>
          <w:attr w:name="SourceValue" w:val="37"/>
          <w:attr w:name="UnitName" w:val="℃"/>
        </w:smartTagPr>
        <w:r w:rsidRPr="005B4D1E">
          <w:rPr>
            <w:rFonts w:ascii="宋体" w:eastAsia="宋体" w:hAnsi="宋体" w:hint="eastAsia"/>
            <w:sz w:val="21"/>
            <w:szCs w:val="21"/>
          </w:rPr>
          <w:t>37℃</w:t>
        </w:r>
      </w:smartTag>
      <w:r w:rsidRPr="005B4D1E">
        <w:rPr>
          <w:rFonts w:ascii="宋体" w:eastAsia="宋体" w:hAnsi="宋体" w:hint="eastAsia"/>
          <w:sz w:val="21"/>
          <w:szCs w:val="21"/>
        </w:rPr>
        <w:t>吸附1h后，加入2%DMEM营养液，继续培养48h。捞取飞片，用</w:t>
      </w:r>
      <w:smartTag w:uri="urn:schemas-microsoft-com:office:smarttags" w:element="chmetcnv">
        <w:smartTagPr>
          <w:attr w:name="TCSC" w:val="0"/>
          <w:attr w:name="NumberType" w:val="1"/>
          <w:attr w:name="Negative" w:val="True"/>
          <w:attr w:name="HasSpace" w:val="False"/>
          <w:attr w:name="SourceValue" w:val="20"/>
          <w:attr w:name="UnitName" w:val="℃"/>
        </w:smartTagPr>
        <w:r w:rsidRPr="005B4D1E">
          <w:rPr>
            <w:rFonts w:ascii="宋体" w:eastAsia="宋体" w:hAnsi="宋体" w:hint="eastAsia"/>
            <w:sz w:val="21"/>
            <w:szCs w:val="21"/>
          </w:rPr>
          <w:t>-20℃</w:t>
        </w:r>
      </w:smartTag>
      <w:r w:rsidRPr="005B4D1E">
        <w:rPr>
          <w:rFonts w:ascii="宋体" w:eastAsia="宋体" w:hAnsi="宋体" w:hint="eastAsia"/>
          <w:sz w:val="21"/>
          <w:szCs w:val="21"/>
        </w:rPr>
        <w:t>预冷的95%乙醇室温固定15min，滴加用PBS 1：2000(V/V)稀释的PRRSV抗体，</w:t>
      </w:r>
      <w:smartTag w:uri="urn:schemas-microsoft-com:office:smarttags" w:element="chmetcnv">
        <w:smartTagPr>
          <w:attr w:name="TCSC" w:val="0"/>
          <w:attr w:name="NumberType" w:val="1"/>
          <w:attr w:name="Negative" w:val="False"/>
          <w:attr w:name="HasSpace" w:val="False"/>
          <w:attr w:name="SourceValue" w:val="37"/>
          <w:attr w:name="UnitName" w:val="℃"/>
        </w:smartTagPr>
        <w:r w:rsidRPr="005B4D1E">
          <w:rPr>
            <w:rFonts w:ascii="宋体" w:eastAsia="宋体" w:hAnsi="宋体" w:hint="eastAsia"/>
            <w:sz w:val="21"/>
            <w:szCs w:val="21"/>
          </w:rPr>
          <w:t>37℃</w:t>
        </w:r>
      </w:smartTag>
      <w:r w:rsidRPr="005B4D1E">
        <w:rPr>
          <w:rFonts w:ascii="宋体" w:eastAsia="宋体" w:hAnsi="宋体" w:hint="eastAsia"/>
          <w:sz w:val="21"/>
          <w:szCs w:val="21"/>
        </w:rPr>
        <w:t>湿盒作用45 min，PBS漂洗3次后滴加1：500(V/V)稀释的FITC标记羊抗猪IgG，</w:t>
      </w:r>
      <w:smartTag w:uri="urn:schemas-microsoft-com:office:smarttags" w:element="chmetcnv">
        <w:smartTagPr>
          <w:attr w:name="TCSC" w:val="0"/>
          <w:attr w:name="NumberType" w:val="1"/>
          <w:attr w:name="Negative" w:val="False"/>
          <w:attr w:name="HasSpace" w:val="False"/>
          <w:attr w:name="SourceValue" w:val="37"/>
          <w:attr w:name="UnitName" w:val="℃"/>
        </w:smartTagPr>
        <w:r w:rsidRPr="005B4D1E">
          <w:rPr>
            <w:rFonts w:ascii="宋体" w:eastAsia="宋体" w:hAnsi="宋体" w:hint="eastAsia"/>
            <w:sz w:val="21"/>
            <w:szCs w:val="21"/>
          </w:rPr>
          <w:t>37℃</w:t>
        </w:r>
      </w:smartTag>
      <w:r w:rsidRPr="005B4D1E">
        <w:rPr>
          <w:rFonts w:ascii="宋体" w:eastAsia="宋体" w:hAnsi="宋体" w:hint="eastAsia"/>
          <w:sz w:val="21"/>
          <w:szCs w:val="21"/>
        </w:rPr>
        <w:t>湿盒作用45min，PBS漂洗3次后自然晾干，加PBS缓冲甘油封片，于荧光显微镜下观察。结果3个分离株均可在细胞浆内观察到明显的荧光信号（图29）。</w:t>
      </w:r>
    </w:p>
    <w:p w:rsidR="009D14A5" w:rsidRPr="005B4D1E" w:rsidRDefault="009D14A5" w:rsidP="005B4D1E">
      <w:pPr>
        <w:tabs>
          <w:tab w:val="left" w:pos="7597"/>
        </w:tabs>
        <w:wordWrap w:val="0"/>
        <w:spacing w:line="360" w:lineRule="auto"/>
        <w:ind w:firstLineChars="200" w:firstLine="420"/>
        <w:rPr>
          <w:rFonts w:ascii="宋体" w:eastAsia="宋体" w:hAnsi="宋体"/>
          <w:sz w:val="21"/>
          <w:szCs w:val="21"/>
        </w:rPr>
      </w:pPr>
      <w:r w:rsidRPr="005B4D1E">
        <w:rPr>
          <w:rFonts w:ascii="宋体" w:eastAsia="宋体" w:hAnsi="宋体" w:hint="eastAsia"/>
          <w:sz w:val="21"/>
          <w:szCs w:val="21"/>
        </w:rPr>
        <w:lastRenderedPageBreak/>
        <w:t>将经RT-PCR、IFA鉴定确认为PRRSV的3个分离株分别命名为GX1001、GX1002和GX1003。应用RT-PCR检测，证实3株病毒均为PRRSV高致病性变异毒株。</w:t>
      </w:r>
    </w:p>
    <w:p w:rsidR="009D14A5" w:rsidRPr="005B4D1E" w:rsidRDefault="009D14A5" w:rsidP="005B4D1E">
      <w:pPr>
        <w:tabs>
          <w:tab w:val="left" w:pos="7597"/>
        </w:tabs>
        <w:wordWrap w:val="0"/>
        <w:spacing w:line="360" w:lineRule="auto"/>
        <w:ind w:firstLineChars="200" w:firstLine="420"/>
        <w:jc w:val="center"/>
        <w:rPr>
          <w:rFonts w:ascii="宋体" w:eastAsia="宋体" w:hAnsi="宋体"/>
          <w:sz w:val="21"/>
          <w:szCs w:val="21"/>
        </w:rPr>
      </w:pPr>
      <w:r w:rsidRPr="005B4D1E">
        <w:rPr>
          <w:rFonts w:ascii="宋体" w:eastAsia="宋体" w:hAnsi="宋体"/>
          <w:noProof/>
          <w:sz w:val="21"/>
          <w:szCs w:val="21"/>
        </w:rPr>
        <w:drawing>
          <wp:inline distT="0" distB="0" distL="0" distR="0">
            <wp:extent cx="3312795" cy="2786380"/>
            <wp:effectExtent l="19050" t="0" r="190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48" cstate="print"/>
                    <a:srcRect/>
                    <a:stretch>
                      <a:fillRect/>
                    </a:stretch>
                  </pic:blipFill>
                  <pic:spPr bwMode="auto">
                    <a:xfrm>
                      <a:off x="0" y="0"/>
                      <a:ext cx="3312795" cy="2786380"/>
                    </a:xfrm>
                    <a:prstGeom prst="rect">
                      <a:avLst/>
                    </a:prstGeom>
                    <a:noFill/>
                    <a:ln w="9525">
                      <a:noFill/>
                      <a:miter lim="800000"/>
                      <a:headEnd/>
                      <a:tailEnd/>
                    </a:ln>
                  </pic:spPr>
                </pic:pic>
              </a:graphicData>
            </a:graphic>
          </wp:inline>
        </w:drawing>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A：阴性对照；B-D：接种病料产生CPE（B：GX1001株；C：GX1002株；D：GX1003株）</w:t>
      </w:r>
    </w:p>
    <w:p w:rsidR="009D14A5" w:rsidRPr="005B4D1E" w:rsidRDefault="009D14A5" w:rsidP="003B0360">
      <w:pPr>
        <w:pStyle w:val="a5"/>
        <w:spacing w:after="156"/>
      </w:pPr>
      <w:bookmarkStart w:id="50" w:name="_Toc405816331"/>
      <w:r w:rsidRPr="005B4D1E">
        <w:rPr>
          <w:rFonts w:hint="eastAsia"/>
        </w:rPr>
        <w:t>图</w:t>
      </w:r>
      <w:r w:rsidR="003B0360">
        <w:rPr>
          <w:rFonts w:hint="eastAsia"/>
        </w:rPr>
        <w:t xml:space="preserve">27 </w:t>
      </w:r>
      <w:r w:rsidRPr="005B4D1E">
        <w:rPr>
          <w:rFonts w:hint="eastAsia"/>
        </w:rPr>
        <w:t>PRRSV</w:t>
      </w:r>
      <w:r w:rsidRPr="005B4D1E">
        <w:rPr>
          <w:rFonts w:hint="eastAsia"/>
        </w:rPr>
        <w:t>的分离鉴定</w:t>
      </w:r>
      <w:bookmarkEnd w:id="50"/>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2587625" cy="2105025"/>
            <wp:effectExtent l="19050" t="0" r="317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49" cstate="print"/>
                    <a:srcRect/>
                    <a:stretch>
                      <a:fillRect/>
                    </a:stretch>
                  </pic:blipFill>
                  <pic:spPr bwMode="auto">
                    <a:xfrm>
                      <a:off x="0" y="0"/>
                      <a:ext cx="2587625" cy="2105025"/>
                    </a:xfrm>
                    <a:prstGeom prst="rect">
                      <a:avLst/>
                    </a:prstGeom>
                    <a:noFill/>
                    <a:ln w="9525">
                      <a:noFill/>
                      <a:miter lim="800000"/>
                      <a:headEnd/>
                      <a:tailEnd/>
                    </a:ln>
                  </pic:spPr>
                </pic:pic>
              </a:graphicData>
            </a:graphic>
          </wp:inline>
        </w:drawing>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M：DNA标准DL2000；“+”：阳性对照；“</w:t>
      </w:r>
      <w:r w:rsidRPr="005B4D1E">
        <w:rPr>
          <w:rFonts w:ascii="宋体" w:eastAsia="宋体" w:hAnsi="宋体" w:cs="Arial"/>
          <w:sz w:val="21"/>
          <w:szCs w:val="21"/>
        </w:rPr>
        <w:t>－</w:t>
      </w:r>
      <w:r w:rsidRPr="005B4D1E">
        <w:rPr>
          <w:rFonts w:ascii="宋体" w:eastAsia="宋体" w:hAnsi="宋体" w:hint="eastAsia"/>
          <w:sz w:val="21"/>
          <w:szCs w:val="21"/>
        </w:rPr>
        <w:t>”阴性对照；“</w:t>
      </w:r>
      <w:smartTag w:uri="urn:schemas-microsoft-com:office:smarttags" w:element="chmetcnv">
        <w:smartTagPr>
          <w:attr w:name="TCSC" w:val="0"/>
          <w:attr w:name="NumberType" w:val="1"/>
          <w:attr w:name="Negative" w:val="False"/>
          <w:attr w:name="HasSpace" w:val="False"/>
          <w:attr w:name="SourceValue" w:val="1"/>
          <w:attr w:name="UnitName" w:val="”"/>
        </w:smartTagPr>
        <w:r w:rsidRPr="005B4D1E">
          <w:rPr>
            <w:rFonts w:ascii="宋体" w:eastAsia="宋体" w:hAnsi="宋体" w:hint="eastAsia"/>
            <w:sz w:val="21"/>
            <w:szCs w:val="21"/>
          </w:rPr>
          <w:t>1”</w:t>
        </w:r>
      </w:smartTag>
      <w:r w:rsidRPr="005B4D1E">
        <w:rPr>
          <w:rFonts w:ascii="宋体" w:eastAsia="宋体" w:hAnsi="宋体" w:hint="eastAsia"/>
          <w:sz w:val="21"/>
          <w:szCs w:val="21"/>
        </w:rPr>
        <w:t>：GX1001株；“</w:t>
      </w:r>
      <w:smartTag w:uri="urn:schemas-microsoft-com:office:smarttags" w:element="chmetcnv">
        <w:smartTagPr>
          <w:attr w:name="TCSC" w:val="0"/>
          <w:attr w:name="NumberType" w:val="1"/>
          <w:attr w:name="Negative" w:val="False"/>
          <w:attr w:name="HasSpace" w:val="False"/>
          <w:attr w:name="SourceValue" w:val="2"/>
          <w:attr w:name="UnitName" w:val="”"/>
        </w:smartTagPr>
        <w:r w:rsidRPr="005B4D1E">
          <w:rPr>
            <w:rFonts w:ascii="宋体" w:eastAsia="宋体" w:hAnsi="宋体" w:hint="eastAsia"/>
            <w:sz w:val="21"/>
            <w:szCs w:val="21"/>
          </w:rPr>
          <w:t>2”</w:t>
        </w:r>
      </w:smartTag>
      <w:r w:rsidRPr="005B4D1E">
        <w:rPr>
          <w:rFonts w:ascii="宋体" w:eastAsia="宋体" w:hAnsi="宋体" w:hint="eastAsia"/>
          <w:sz w:val="21"/>
          <w:szCs w:val="21"/>
        </w:rPr>
        <w:t>：GX1002株；“</w:t>
      </w:r>
      <w:smartTag w:uri="urn:schemas-microsoft-com:office:smarttags" w:element="chmetcnv">
        <w:smartTagPr>
          <w:attr w:name="TCSC" w:val="0"/>
          <w:attr w:name="NumberType" w:val="1"/>
          <w:attr w:name="Negative" w:val="False"/>
          <w:attr w:name="HasSpace" w:val="False"/>
          <w:attr w:name="SourceValue" w:val="3"/>
          <w:attr w:name="UnitName" w:val="”"/>
        </w:smartTagPr>
        <w:r w:rsidRPr="005B4D1E">
          <w:rPr>
            <w:rFonts w:ascii="宋体" w:eastAsia="宋体" w:hAnsi="宋体" w:hint="eastAsia"/>
            <w:sz w:val="21"/>
            <w:szCs w:val="21"/>
          </w:rPr>
          <w:t>3”</w:t>
        </w:r>
      </w:smartTag>
      <w:r w:rsidRPr="005B4D1E">
        <w:rPr>
          <w:rFonts w:ascii="宋体" w:eastAsia="宋体" w:hAnsi="宋体" w:hint="eastAsia"/>
          <w:sz w:val="21"/>
          <w:szCs w:val="21"/>
        </w:rPr>
        <w:t>：GX1003株。</w:t>
      </w:r>
    </w:p>
    <w:p w:rsidR="009D14A5" w:rsidRPr="005B4D1E" w:rsidRDefault="009D14A5" w:rsidP="003B0360">
      <w:pPr>
        <w:pStyle w:val="a5"/>
        <w:spacing w:after="156"/>
      </w:pPr>
      <w:bookmarkStart w:id="51" w:name="_Toc405816332"/>
      <w:r w:rsidRPr="005B4D1E">
        <w:rPr>
          <w:rFonts w:hint="eastAsia"/>
        </w:rPr>
        <w:t>图</w:t>
      </w:r>
      <w:r w:rsidRPr="005B4D1E">
        <w:rPr>
          <w:rFonts w:hint="eastAsia"/>
        </w:rPr>
        <w:t>28 PRRSV</w:t>
      </w:r>
      <w:r w:rsidRPr="005B4D1E">
        <w:rPr>
          <w:rFonts w:hint="eastAsia"/>
        </w:rPr>
        <w:t>广西分离株的</w:t>
      </w:r>
      <w:r w:rsidRPr="005B4D1E">
        <w:rPr>
          <w:rFonts w:hint="eastAsia"/>
        </w:rPr>
        <w:t>RT-PCR</w:t>
      </w:r>
      <w:r w:rsidRPr="005B4D1E">
        <w:rPr>
          <w:rFonts w:hint="eastAsia"/>
        </w:rPr>
        <w:t>鉴定</w:t>
      </w:r>
      <w:bookmarkEnd w:id="51"/>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lastRenderedPageBreak/>
        <w:drawing>
          <wp:inline distT="0" distB="0" distL="0" distR="0">
            <wp:extent cx="4511675" cy="2950210"/>
            <wp:effectExtent l="19050" t="0" r="317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50" cstate="print"/>
                    <a:srcRect/>
                    <a:stretch>
                      <a:fillRect/>
                    </a:stretch>
                  </pic:blipFill>
                  <pic:spPr bwMode="auto">
                    <a:xfrm>
                      <a:off x="0" y="0"/>
                      <a:ext cx="4511675" cy="2950210"/>
                    </a:xfrm>
                    <a:prstGeom prst="rect">
                      <a:avLst/>
                    </a:prstGeom>
                    <a:noFill/>
                    <a:ln w="9525">
                      <a:noFill/>
                      <a:miter lim="800000"/>
                      <a:headEnd/>
                      <a:tailEnd/>
                    </a:ln>
                  </pic:spPr>
                </pic:pic>
              </a:graphicData>
            </a:graphic>
          </wp:inline>
        </w:drawing>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A：阳性对照；B：阴性对照；C：GX1001株；D：GX1002株；E：GX1003株</w:t>
      </w:r>
    </w:p>
    <w:p w:rsidR="009D14A5" w:rsidRPr="005B4D1E" w:rsidRDefault="009D14A5" w:rsidP="003B0360">
      <w:pPr>
        <w:pStyle w:val="a5"/>
        <w:spacing w:after="156"/>
      </w:pPr>
      <w:bookmarkStart w:id="52" w:name="_Toc405816333"/>
      <w:r w:rsidRPr="005B4D1E">
        <w:rPr>
          <w:rFonts w:hint="eastAsia"/>
        </w:rPr>
        <w:t>图</w:t>
      </w:r>
      <w:r w:rsidR="003B0360">
        <w:rPr>
          <w:rFonts w:hint="eastAsia"/>
        </w:rPr>
        <w:t xml:space="preserve">29 </w:t>
      </w:r>
      <w:r w:rsidRPr="005B4D1E">
        <w:rPr>
          <w:rFonts w:hint="eastAsia"/>
        </w:rPr>
        <w:t>PRRSV</w:t>
      </w:r>
      <w:r w:rsidRPr="005B4D1E">
        <w:rPr>
          <w:rFonts w:hint="eastAsia"/>
        </w:rPr>
        <w:t>分离株的</w:t>
      </w:r>
      <w:r w:rsidRPr="005B4D1E">
        <w:rPr>
          <w:rFonts w:hint="eastAsia"/>
        </w:rPr>
        <w:t>IFA</w:t>
      </w:r>
      <w:r w:rsidRPr="005B4D1E">
        <w:rPr>
          <w:rFonts w:hint="eastAsia"/>
        </w:rPr>
        <w:t>鉴定</w:t>
      </w:r>
      <w:bookmarkEnd w:id="52"/>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 xml:space="preserve"> PRRSV分离株基因组的分段扩增及测序：</w:t>
      </w:r>
      <w:r w:rsidRPr="005B4D1E">
        <w:rPr>
          <w:rFonts w:ascii="宋体" w:eastAsia="宋体" w:hAnsi="宋体" w:hint="eastAsia"/>
          <w:sz w:val="21"/>
          <w:szCs w:val="21"/>
        </w:rPr>
        <w:t>参照GenBank中登录的PRRSV JXA1株基因组序列(EF112445)，应用Oligo 6.0软件设计并合成14对扩增区域相互重叠的特异性引物，用于扩增GX1001株和GX1002株基因组cDNA片段；基因组的5</w:t>
      </w:r>
      <w:r w:rsidRPr="005B4D1E">
        <w:rPr>
          <w:rFonts w:ascii="宋体" w:eastAsia="宋体" w:hAnsi="宋体"/>
          <w:sz w:val="21"/>
          <w:szCs w:val="21"/>
        </w:rPr>
        <w:t>′</w:t>
      </w:r>
      <w:r w:rsidRPr="005B4D1E">
        <w:rPr>
          <w:rFonts w:ascii="宋体" w:eastAsia="宋体" w:hAnsi="宋体" w:hint="eastAsia"/>
          <w:sz w:val="21"/>
          <w:szCs w:val="21"/>
        </w:rPr>
        <w:t xml:space="preserve"> 端和3</w:t>
      </w:r>
      <w:r w:rsidRPr="005B4D1E">
        <w:rPr>
          <w:rFonts w:ascii="宋体" w:eastAsia="宋体" w:hAnsi="宋体"/>
          <w:sz w:val="21"/>
          <w:szCs w:val="21"/>
        </w:rPr>
        <w:t>′</w:t>
      </w:r>
      <w:r w:rsidRPr="005B4D1E">
        <w:rPr>
          <w:rFonts w:ascii="宋体" w:eastAsia="宋体" w:hAnsi="宋体" w:hint="eastAsia"/>
          <w:sz w:val="21"/>
          <w:szCs w:val="21"/>
        </w:rPr>
        <w:t xml:space="preserve"> 端分别采用5</w:t>
      </w:r>
      <w:r w:rsidRPr="005B4D1E">
        <w:rPr>
          <w:rFonts w:ascii="宋体" w:eastAsia="宋体" w:hAnsi="宋体"/>
          <w:sz w:val="21"/>
          <w:szCs w:val="21"/>
        </w:rPr>
        <w:t>′</w:t>
      </w:r>
      <w:r w:rsidRPr="005B4D1E">
        <w:rPr>
          <w:rFonts w:ascii="宋体" w:eastAsia="宋体" w:hAnsi="宋体" w:hint="eastAsia"/>
          <w:sz w:val="21"/>
          <w:szCs w:val="21"/>
        </w:rPr>
        <w:t xml:space="preserve"> Full RACE Kit和3' Full RACE Kit进行扩增（见表11）。</w:t>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分别取GX1001株、GX1002株、GX1003株第3代细胞毒上清，按照试剂盒说明书提取总RNA，利用RNA PCR Kit获得cDNA。以此为模板，建立50</w:t>
      </w:r>
      <w:r w:rsidRPr="005B4D1E">
        <w:rPr>
          <w:rFonts w:ascii="宋体" w:eastAsia="宋体" w:hAnsi="宋体"/>
          <w:sz w:val="21"/>
          <w:szCs w:val="21"/>
        </w:rPr>
        <w:t>µ</w:t>
      </w:r>
      <w:r w:rsidRPr="005B4D1E">
        <w:rPr>
          <w:rFonts w:ascii="宋体" w:eastAsia="宋体" w:hAnsi="宋体" w:hint="eastAsia"/>
          <w:sz w:val="21"/>
          <w:szCs w:val="21"/>
        </w:rPr>
        <w:t>L PCR反应体系：5×PCR Buffer(含dNTP Mixture、Mg</w:t>
      </w:r>
      <w:r w:rsidRPr="005B4D1E">
        <w:rPr>
          <w:rFonts w:ascii="宋体" w:eastAsia="宋体" w:hAnsi="宋体" w:hint="eastAsia"/>
          <w:sz w:val="21"/>
          <w:szCs w:val="21"/>
          <w:vertAlign w:val="superscript"/>
        </w:rPr>
        <w:t>2+</w:t>
      </w:r>
      <w:r w:rsidRPr="005B4D1E">
        <w:rPr>
          <w:rFonts w:ascii="宋体" w:eastAsia="宋体" w:hAnsi="宋体" w:hint="eastAsia"/>
          <w:sz w:val="21"/>
          <w:szCs w:val="21"/>
        </w:rPr>
        <w:t>) 10</w:t>
      </w:r>
      <w:r w:rsidRPr="005B4D1E">
        <w:rPr>
          <w:rFonts w:ascii="宋体" w:eastAsia="宋体" w:hAnsi="宋体"/>
          <w:sz w:val="21"/>
          <w:szCs w:val="21"/>
        </w:rPr>
        <w:t>µ</w:t>
      </w:r>
      <w:r w:rsidRPr="005B4D1E">
        <w:rPr>
          <w:rFonts w:ascii="宋体" w:eastAsia="宋体" w:hAnsi="宋体" w:hint="eastAsia"/>
          <w:sz w:val="21"/>
          <w:szCs w:val="21"/>
        </w:rPr>
        <w:t>L，Ex Taq HS聚合酶(5U/</w:t>
      </w:r>
      <w:r w:rsidRPr="005B4D1E">
        <w:rPr>
          <w:rFonts w:ascii="宋体" w:eastAsia="宋体" w:hAnsi="宋体"/>
          <w:sz w:val="21"/>
          <w:szCs w:val="21"/>
        </w:rPr>
        <w:t>µ</w:t>
      </w:r>
      <w:r w:rsidRPr="005B4D1E">
        <w:rPr>
          <w:rFonts w:ascii="宋体" w:eastAsia="宋体" w:hAnsi="宋体" w:hint="eastAsia"/>
          <w:sz w:val="21"/>
          <w:szCs w:val="21"/>
        </w:rPr>
        <w:t>L)0.25</w:t>
      </w:r>
      <w:r w:rsidRPr="005B4D1E">
        <w:rPr>
          <w:rFonts w:ascii="宋体" w:eastAsia="宋体" w:hAnsi="宋体"/>
          <w:sz w:val="21"/>
          <w:szCs w:val="21"/>
        </w:rPr>
        <w:t>µ</w:t>
      </w:r>
      <w:r w:rsidRPr="005B4D1E">
        <w:rPr>
          <w:rFonts w:ascii="宋体" w:eastAsia="宋体" w:hAnsi="宋体" w:hint="eastAsia"/>
          <w:sz w:val="21"/>
          <w:szCs w:val="21"/>
        </w:rPr>
        <w:t>L，cDNA5</w:t>
      </w:r>
      <w:r w:rsidRPr="005B4D1E">
        <w:rPr>
          <w:rFonts w:ascii="宋体" w:eastAsia="宋体" w:hAnsi="宋体"/>
          <w:sz w:val="21"/>
          <w:szCs w:val="21"/>
        </w:rPr>
        <w:t>µ</w:t>
      </w:r>
      <w:r w:rsidRPr="005B4D1E">
        <w:rPr>
          <w:rFonts w:ascii="宋体" w:eastAsia="宋体" w:hAnsi="宋体" w:hint="eastAsia"/>
          <w:sz w:val="21"/>
          <w:szCs w:val="21"/>
        </w:rPr>
        <w:t>L，上下游引物（25pmol/</w:t>
      </w:r>
      <w:r w:rsidRPr="005B4D1E">
        <w:rPr>
          <w:rFonts w:ascii="宋体" w:eastAsia="宋体" w:hAnsi="宋体"/>
          <w:sz w:val="21"/>
          <w:szCs w:val="21"/>
        </w:rPr>
        <w:t>µ</w:t>
      </w:r>
      <w:r w:rsidRPr="005B4D1E">
        <w:rPr>
          <w:rFonts w:ascii="宋体" w:eastAsia="宋体" w:hAnsi="宋体" w:hint="eastAsia"/>
          <w:sz w:val="21"/>
          <w:szCs w:val="21"/>
        </w:rPr>
        <w:t>L）各0.5</w:t>
      </w:r>
      <w:r w:rsidRPr="005B4D1E">
        <w:rPr>
          <w:rFonts w:ascii="宋体" w:eastAsia="宋体" w:hAnsi="宋体"/>
          <w:sz w:val="21"/>
          <w:szCs w:val="21"/>
        </w:rPr>
        <w:t>µ</w:t>
      </w:r>
      <w:r w:rsidRPr="005B4D1E">
        <w:rPr>
          <w:rFonts w:ascii="宋体" w:eastAsia="宋体" w:hAnsi="宋体" w:hint="eastAsia"/>
          <w:sz w:val="21"/>
          <w:szCs w:val="21"/>
        </w:rPr>
        <w:t>L，加灭菌双蒸水至50</w:t>
      </w:r>
      <w:r w:rsidRPr="005B4D1E">
        <w:rPr>
          <w:rFonts w:ascii="宋体" w:eastAsia="宋体" w:hAnsi="宋体"/>
          <w:sz w:val="21"/>
          <w:szCs w:val="21"/>
        </w:rPr>
        <w:t>µ</w:t>
      </w:r>
      <w:r w:rsidRPr="005B4D1E">
        <w:rPr>
          <w:rFonts w:ascii="宋体" w:eastAsia="宋体" w:hAnsi="宋体" w:hint="eastAsia"/>
          <w:sz w:val="21"/>
          <w:szCs w:val="21"/>
        </w:rPr>
        <w:t>L。PCR反应程序：</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smartTag>
      <w:r w:rsidRPr="005B4D1E">
        <w:rPr>
          <w:rFonts w:ascii="宋体" w:eastAsia="宋体" w:hAnsi="宋体" w:hint="eastAsia"/>
          <w:sz w:val="21"/>
          <w:szCs w:val="21"/>
        </w:rPr>
        <w:t>3min；</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r w:rsidRPr="005B4D1E">
          <w:rPr>
            <w:rFonts w:ascii="宋体" w:eastAsia="宋体" w:hAnsi="宋体" w:cs="Arial"/>
            <w:sz w:val="21"/>
            <w:szCs w:val="21"/>
          </w:rPr>
          <w:t>℃</w:t>
        </w:r>
      </w:smartTag>
      <w:r w:rsidRPr="005B4D1E">
        <w:rPr>
          <w:rFonts w:ascii="宋体" w:eastAsia="宋体" w:hAnsi="宋体" w:hint="eastAsia"/>
          <w:sz w:val="21"/>
          <w:szCs w:val="21"/>
        </w:rPr>
        <w:t>30s，</w:t>
      </w:r>
      <w:smartTag w:uri="urn:schemas-microsoft-com:office:smarttags" w:element="chmetcnv">
        <w:smartTagPr>
          <w:attr w:name="TCSC" w:val="0"/>
          <w:attr w:name="NumberType" w:val="1"/>
          <w:attr w:name="Negative" w:val="False"/>
          <w:attr w:name="HasSpace" w:val="False"/>
          <w:attr w:name="SourceValue" w:val="56"/>
          <w:attr w:name="UnitName" w:val="℃"/>
        </w:smartTagPr>
        <w:r w:rsidRPr="005B4D1E">
          <w:rPr>
            <w:rFonts w:ascii="宋体" w:eastAsia="宋体" w:hAnsi="宋体" w:hint="eastAsia"/>
            <w:sz w:val="21"/>
            <w:szCs w:val="21"/>
          </w:rPr>
          <w:t>56℃</w:t>
        </w:r>
      </w:smartTag>
      <w:smartTag w:uri="urn:schemas-microsoft-com:office:smarttags" w:element="chmetcnv">
        <w:smartTagPr>
          <w:attr w:name="TCSC" w:val="0"/>
          <w:attr w:name="NumberType" w:val="1"/>
          <w:attr w:name="Negative" w:val="True"/>
          <w:attr w:name="HasSpace" w:val="False"/>
          <w:attr w:name="SourceValue" w:val="59"/>
          <w:attr w:name="UnitName" w:val="℃"/>
        </w:smartTagPr>
        <w:r w:rsidRPr="005B4D1E">
          <w:rPr>
            <w:rFonts w:ascii="宋体" w:eastAsia="宋体" w:hAnsi="宋体" w:hint="eastAsia"/>
            <w:sz w:val="21"/>
            <w:szCs w:val="21"/>
          </w:rPr>
          <w:t>-59℃</w:t>
        </w:r>
      </w:smartTag>
      <w:r w:rsidRPr="005B4D1E">
        <w:rPr>
          <w:rFonts w:ascii="宋体" w:eastAsia="宋体" w:hAnsi="宋体" w:hint="eastAsia"/>
          <w:sz w:val="21"/>
          <w:szCs w:val="21"/>
        </w:rPr>
        <w:t>30s，</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120s，35个循环；</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10min。反应结束后进行凝胶电泳，得到16个与预期目的片段大小一致的扩增片段（图30）。利用胶回收试剂盒回收、纯化PCR产物，连接到pMD18-T载体，转化DH5</w:t>
      </w:r>
      <w:r w:rsidRPr="005B4D1E">
        <w:rPr>
          <w:rFonts w:ascii="宋体" w:eastAsia="宋体" w:hAnsi="宋体" w:cs="Arial"/>
          <w:sz w:val="21"/>
          <w:szCs w:val="21"/>
        </w:rPr>
        <w:t>α</w:t>
      </w:r>
      <w:r w:rsidRPr="005B4D1E">
        <w:rPr>
          <w:rFonts w:ascii="宋体" w:eastAsia="宋体" w:hAnsi="宋体" w:hint="eastAsia"/>
          <w:sz w:val="21"/>
          <w:szCs w:val="21"/>
        </w:rPr>
        <w:t>细胞，阳性克隆经PCR、酶切鉴定后，送上海生工生物有限公司测序。每个扩增片段均送3个克隆进行重复测序。</w:t>
      </w:r>
    </w:p>
    <w:p w:rsidR="009D14A5" w:rsidRPr="005B4D1E" w:rsidRDefault="009D14A5" w:rsidP="005B4D1E">
      <w:pPr>
        <w:tabs>
          <w:tab w:val="left" w:pos="7597"/>
        </w:tabs>
        <w:wordWrap w:val="0"/>
        <w:spacing w:line="360" w:lineRule="auto"/>
        <w:ind w:firstLineChars="200" w:firstLine="420"/>
        <w:rPr>
          <w:rFonts w:ascii="宋体" w:eastAsia="宋体" w:hAnsi="宋体"/>
          <w:sz w:val="21"/>
          <w:szCs w:val="21"/>
        </w:rPr>
      </w:pPr>
      <w:r w:rsidRPr="005B4D1E">
        <w:rPr>
          <w:rFonts w:ascii="宋体" w:eastAsia="宋体" w:hAnsi="宋体" w:hint="eastAsia"/>
          <w:sz w:val="21"/>
          <w:szCs w:val="21"/>
        </w:rPr>
        <w:t>利用Lasergene 7.1对获得的各片段序列进行拼接，获得GX1001株、GX1002株及GX1003株的全基因组核苷酸序列，分别为15329nt、15318nt及15320nt[不包括Poly (A)】。基因组首先是5'UTR；其后为9个开放阅读框(ORF)ORFla、ORF1b、ORF</w:t>
      </w:r>
      <w:smartTag w:uri="urn:schemas-microsoft-com:office:smarttags" w:element="chmetcnv">
        <w:smartTagPr>
          <w:attr w:name="TCSC" w:val="0"/>
          <w:attr w:name="NumberType" w:val="1"/>
          <w:attr w:name="Negative" w:val="False"/>
          <w:attr w:name="HasSpace" w:val="False"/>
          <w:attr w:name="SourceValue" w:val="2"/>
          <w:attr w:name="UnitName" w:val="a"/>
        </w:smartTagPr>
        <w:r w:rsidRPr="005B4D1E">
          <w:rPr>
            <w:rFonts w:ascii="宋体" w:eastAsia="宋体" w:hAnsi="宋体" w:hint="eastAsia"/>
            <w:sz w:val="21"/>
            <w:szCs w:val="21"/>
          </w:rPr>
          <w:t>2a</w:t>
        </w:r>
      </w:smartTag>
      <w:r w:rsidRPr="005B4D1E">
        <w:rPr>
          <w:rFonts w:ascii="宋体" w:eastAsia="宋体" w:hAnsi="宋体" w:hint="eastAsia"/>
          <w:sz w:val="21"/>
          <w:szCs w:val="21"/>
        </w:rPr>
        <w:t>、ORF2b、ORF3～ORF7，其中ORFla编码非结构蛋白NSP1</w:t>
      </w:r>
      <w:r w:rsidRPr="005B4D1E">
        <w:rPr>
          <w:rFonts w:ascii="宋体" w:eastAsia="宋体" w:hAnsi="宋体" w:cs="Arial"/>
          <w:sz w:val="21"/>
          <w:szCs w:val="21"/>
        </w:rPr>
        <w:t>α</w:t>
      </w:r>
      <w:r w:rsidRPr="005B4D1E">
        <w:rPr>
          <w:rFonts w:ascii="宋体" w:eastAsia="宋体" w:hAnsi="宋体" w:hint="eastAsia"/>
          <w:sz w:val="21"/>
          <w:szCs w:val="21"/>
        </w:rPr>
        <w:t>、NSP1</w:t>
      </w:r>
      <w:r w:rsidRPr="005B4D1E">
        <w:rPr>
          <w:rFonts w:ascii="宋体" w:eastAsia="宋体" w:hAnsi="宋体" w:cs="Arial"/>
          <w:sz w:val="21"/>
          <w:szCs w:val="21"/>
        </w:rPr>
        <w:t>β</w:t>
      </w:r>
      <w:r w:rsidRPr="005B4D1E">
        <w:rPr>
          <w:rFonts w:ascii="宋体" w:eastAsia="宋体" w:hAnsi="宋体" w:hint="eastAsia"/>
          <w:sz w:val="21"/>
          <w:szCs w:val="21"/>
        </w:rPr>
        <w:t>、NSP2～8，ORF1b编码非结构蛋白NSP9～12，ORF</w:t>
      </w:r>
      <w:smartTag w:uri="urn:schemas-microsoft-com:office:smarttags" w:element="chmetcnv">
        <w:smartTagPr>
          <w:attr w:name="TCSC" w:val="0"/>
          <w:attr w:name="NumberType" w:val="1"/>
          <w:attr w:name="Negative" w:val="False"/>
          <w:attr w:name="HasSpace" w:val="False"/>
          <w:attr w:name="SourceValue" w:val="2"/>
          <w:attr w:name="UnitName" w:val="a"/>
        </w:smartTagPr>
        <w:r w:rsidRPr="005B4D1E">
          <w:rPr>
            <w:rFonts w:ascii="宋体" w:eastAsia="宋体" w:hAnsi="宋体" w:hint="eastAsia"/>
            <w:sz w:val="21"/>
            <w:szCs w:val="21"/>
          </w:rPr>
          <w:t>2a</w:t>
        </w:r>
      </w:smartTag>
      <w:r w:rsidRPr="005B4D1E">
        <w:rPr>
          <w:rFonts w:ascii="宋体" w:eastAsia="宋体" w:hAnsi="宋体" w:hint="eastAsia"/>
          <w:sz w:val="21"/>
          <w:szCs w:val="21"/>
        </w:rPr>
        <w:t>、ORF2b、ORF3～ORF7分别编码结构蛋白GP</w:t>
      </w:r>
      <w:smartTag w:uri="urn:schemas-microsoft-com:office:smarttags" w:element="chmetcnv">
        <w:smartTagPr>
          <w:attr w:name="TCSC" w:val="0"/>
          <w:attr w:name="NumberType" w:val="1"/>
          <w:attr w:name="Negative" w:val="False"/>
          <w:attr w:name="HasSpace" w:val="False"/>
          <w:attr w:name="SourceValue" w:val="2"/>
          <w:attr w:name="UnitName" w:val="a"/>
        </w:smartTagPr>
        <w:r w:rsidRPr="005B4D1E">
          <w:rPr>
            <w:rFonts w:ascii="宋体" w:eastAsia="宋体" w:hAnsi="宋体" w:hint="eastAsia"/>
            <w:sz w:val="21"/>
            <w:szCs w:val="21"/>
          </w:rPr>
          <w:t>2a</w:t>
        </w:r>
      </w:smartTag>
      <w:r w:rsidRPr="005B4D1E">
        <w:rPr>
          <w:rFonts w:ascii="宋体" w:eastAsia="宋体" w:hAnsi="宋体" w:hint="eastAsia"/>
          <w:sz w:val="21"/>
          <w:szCs w:val="21"/>
        </w:rPr>
        <w:t>、GP2b．(E)、GP3、GP4、GP5、M</w:t>
      </w:r>
      <w:r w:rsidRPr="005B4D1E">
        <w:rPr>
          <w:rFonts w:ascii="宋体" w:eastAsia="宋体" w:hAnsi="宋体" w:hint="eastAsia"/>
          <w:sz w:val="21"/>
          <w:szCs w:val="21"/>
        </w:rPr>
        <w:lastRenderedPageBreak/>
        <w:t>和N；最后是3'UTR和Poly(A)尾。3个分离株基因组的组成见表12。GX1001、GX1002及GX1003株基因组序列已登录NCBI GenBank，登录号分别为JQ955657、JQ955658及JX912249。</w:t>
      </w:r>
    </w:p>
    <w:p w:rsidR="009D14A5" w:rsidRPr="005B4D1E" w:rsidRDefault="009D14A5" w:rsidP="003B0360">
      <w:pPr>
        <w:pStyle w:val="a6"/>
        <w:spacing w:before="156"/>
      </w:pPr>
      <w:bookmarkStart w:id="53" w:name="_Toc405816418"/>
      <w:r w:rsidRPr="005B4D1E">
        <w:rPr>
          <w:rFonts w:hint="eastAsia"/>
        </w:rPr>
        <w:t>表</w:t>
      </w:r>
      <w:r w:rsidRPr="005B4D1E">
        <w:rPr>
          <w:rFonts w:hint="eastAsia"/>
        </w:rPr>
        <w:t>11</w:t>
      </w:r>
      <w:r w:rsidR="003B0360">
        <w:rPr>
          <w:rFonts w:hint="eastAsia"/>
        </w:rPr>
        <w:t xml:space="preserve"> </w:t>
      </w:r>
      <w:r w:rsidRPr="005B4D1E">
        <w:rPr>
          <w:rFonts w:hint="eastAsia"/>
        </w:rPr>
        <w:t>用于扩增</w:t>
      </w:r>
      <w:r w:rsidRPr="005B4D1E">
        <w:rPr>
          <w:rFonts w:hint="eastAsia"/>
        </w:rPr>
        <w:t>PRRSV</w:t>
      </w:r>
      <w:r w:rsidRPr="005B4D1E">
        <w:rPr>
          <w:rFonts w:hint="eastAsia"/>
        </w:rPr>
        <w:t>基因组序列的引物</w:t>
      </w:r>
      <w:bookmarkEnd w:id="53"/>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noProof/>
          <w:sz w:val="21"/>
          <w:szCs w:val="21"/>
        </w:rPr>
        <w:drawing>
          <wp:inline distT="0" distB="0" distL="0" distR="0">
            <wp:extent cx="5270500" cy="5520690"/>
            <wp:effectExtent l="19050" t="0" r="635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1" cstate="print"/>
                    <a:srcRect/>
                    <a:stretch>
                      <a:fillRect/>
                    </a:stretch>
                  </pic:blipFill>
                  <pic:spPr bwMode="auto">
                    <a:xfrm>
                      <a:off x="0" y="0"/>
                      <a:ext cx="5270500" cy="5520690"/>
                    </a:xfrm>
                    <a:prstGeom prst="rect">
                      <a:avLst/>
                    </a:prstGeom>
                    <a:noFill/>
                    <a:ln w="9525">
                      <a:noFill/>
                      <a:miter lim="800000"/>
                      <a:headEnd/>
                      <a:tailEnd/>
                    </a:ln>
                  </pic:spPr>
                </pic:pic>
              </a:graphicData>
            </a:graphic>
          </wp:inline>
        </w:drawing>
      </w:r>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lastRenderedPageBreak/>
        <w:drawing>
          <wp:inline distT="0" distB="0" distL="0" distR="0">
            <wp:extent cx="3010535" cy="3657600"/>
            <wp:effectExtent l="1905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2" cstate="print"/>
                    <a:srcRect/>
                    <a:stretch>
                      <a:fillRect/>
                    </a:stretch>
                  </pic:blipFill>
                  <pic:spPr bwMode="auto">
                    <a:xfrm>
                      <a:off x="0" y="0"/>
                      <a:ext cx="3010535" cy="3657600"/>
                    </a:xfrm>
                    <a:prstGeom prst="rect">
                      <a:avLst/>
                    </a:prstGeom>
                    <a:noFill/>
                    <a:ln w="9525">
                      <a:noFill/>
                      <a:miter lim="800000"/>
                      <a:headEnd/>
                      <a:tailEnd/>
                    </a:ln>
                  </pic:spPr>
                </pic:pic>
              </a:graphicData>
            </a:graphic>
          </wp:inline>
        </w:drawing>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M：DNA标准DL2000；5</w:t>
      </w:r>
      <w:r w:rsidRPr="005B4D1E">
        <w:rPr>
          <w:rFonts w:ascii="宋体" w:eastAsia="宋体" w:hAnsi="宋体"/>
          <w:sz w:val="21"/>
          <w:szCs w:val="21"/>
        </w:rPr>
        <w:t>′</w:t>
      </w:r>
      <w:r w:rsidRPr="005B4D1E">
        <w:rPr>
          <w:rFonts w:ascii="宋体" w:eastAsia="宋体" w:hAnsi="宋体" w:hint="eastAsia"/>
          <w:sz w:val="21"/>
          <w:szCs w:val="21"/>
        </w:rPr>
        <w:t>：5'RACE扩增产物；P1~P14：编码区扩增产物；3</w:t>
      </w:r>
      <w:r w:rsidRPr="005B4D1E">
        <w:rPr>
          <w:rFonts w:ascii="宋体" w:eastAsia="宋体" w:hAnsi="宋体"/>
          <w:sz w:val="21"/>
          <w:szCs w:val="21"/>
        </w:rPr>
        <w:t>′</w:t>
      </w:r>
      <w:r w:rsidRPr="005B4D1E">
        <w:rPr>
          <w:rFonts w:ascii="宋体" w:eastAsia="宋体" w:hAnsi="宋体" w:hint="eastAsia"/>
          <w:sz w:val="21"/>
          <w:szCs w:val="21"/>
        </w:rPr>
        <w:t>：3</w:t>
      </w:r>
      <w:r w:rsidRPr="005B4D1E">
        <w:rPr>
          <w:rFonts w:ascii="宋体" w:eastAsia="宋体" w:hAnsi="宋体"/>
          <w:sz w:val="21"/>
          <w:szCs w:val="21"/>
        </w:rPr>
        <w:t>′</w:t>
      </w:r>
      <w:r w:rsidRPr="005B4D1E">
        <w:rPr>
          <w:rFonts w:ascii="宋体" w:eastAsia="宋体" w:hAnsi="宋体" w:hint="eastAsia"/>
          <w:sz w:val="21"/>
          <w:szCs w:val="21"/>
        </w:rPr>
        <w:t>RACE扩增产物</w:t>
      </w:r>
    </w:p>
    <w:p w:rsidR="009D14A5" w:rsidRPr="005B4D1E" w:rsidRDefault="009D14A5" w:rsidP="003B0360">
      <w:pPr>
        <w:pStyle w:val="a5"/>
        <w:spacing w:after="156"/>
      </w:pPr>
      <w:bookmarkStart w:id="54" w:name="_Toc405816334"/>
      <w:r w:rsidRPr="005B4D1E">
        <w:rPr>
          <w:rFonts w:hint="eastAsia"/>
        </w:rPr>
        <w:t>图</w:t>
      </w:r>
      <w:r w:rsidR="003B0360">
        <w:rPr>
          <w:rFonts w:hint="eastAsia"/>
        </w:rPr>
        <w:t xml:space="preserve">30 </w:t>
      </w:r>
      <w:r w:rsidRPr="005B4D1E">
        <w:rPr>
          <w:rFonts w:hint="eastAsia"/>
        </w:rPr>
        <w:t>GX1001</w:t>
      </w:r>
      <w:r w:rsidRPr="005B4D1E">
        <w:rPr>
          <w:rFonts w:hint="eastAsia"/>
        </w:rPr>
        <w:t>株基因组</w:t>
      </w:r>
      <w:r w:rsidRPr="005B4D1E">
        <w:rPr>
          <w:rFonts w:hint="eastAsia"/>
        </w:rPr>
        <w:t>RT-PCR</w:t>
      </w:r>
      <w:r w:rsidRPr="005B4D1E">
        <w:rPr>
          <w:rFonts w:hint="eastAsia"/>
        </w:rPr>
        <w:t>分段扩增结果</w:t>
      </w:r>
      <w:r w:rsidRPr="005B4D1E">
        <w:rPr>
          <w:rFonts w:hint="eastAsia"/>
        </w:rPr>
        <w:t>(A</w:t>
      </w:r>
      <w:r w:rsidRPr="005B4D1E">
        <w:rPr>
          <w:rFonts w:hint="eastAsia"/>
        </w:rPr>
        <w:t>：</w:t>
      </w:r>
      <w:r w:rsidRPr="005B4D1E">
        <w:rPr>
          <w:rFonts w:hint="eastAsia"/>
        </w:rPr>
        <w:t>GX1001</w:t>
      </w:r>
      <w:r w:rsidRPr="005B4D1E">
        <w:rPr>
          <w:rFonts w:hint="eastAsia"/>
        </w:rPr>
        <w:t>株；</w:t>
      </w:r>
      <w:r w:rsidRPr="005B4D1E">
        <w:rPr>
          <w:rFonts w:hint="eastAsia"/>
        </w:rPr>
        <w:t>B</w:t>
      </w:r>
      <w:r w:rsidRPr="005B4D1E">
        <w:rPr>
          <w:rFonts w:hint="eastAsia"/>
        </w:rPr>
        <w:t>：</w:t>
      </w:r>
      <w:r w:rsidRPr="005B4D1E">
        <w:rPr>
          <w:rFonts w:hint="eastAsia"/>
        </w:rPr>
        <w:t>GX1002</w:t>
      </w:r>
      <w:r w:rsidRPr="005B4D1E">
        <w:rPr>
          <w:rFonts w:hint="eastAsia"/>
        </w:rPr>
        <w:t>株；</w:t>
      </w:r>
      <w:r w:rsidRPr="005B4D1E">
        <w:rPr>
          <w:rFonts w:hint="eastAsia"/>
        </w:rPr>
        <w:t>C</w:t>
      </w:r>
      <w:r w:rsidRPr="005B4D1E">
        <w:rPr>
          <w:rFonts w:hint="eastAsia"/>
        </w:rPr>
        <w:t>：</w:t>
      </w:r>
      <w:r w:rsidRPr="005B4D1E">
        <w:rPr>
          <w:rFonts w:hint="eastAsia"/>
        </w:rPr>
        <w:t>GX1003</w:t>
      </w:r>
      <w:r w:rsidRPr="005B4D1E">
        <w:rPr>
          <w:rFonts w:hint="eastAsia"/>
        </w:rPr>
        <w:t>株</w:t>
      </w:r>
      <w:r w:rsidRPr="005B4D1E">
        <w:rPr>
          <w:rFonts w:hint="eastAsia"/>
        </w:rPr>
        <w:t>)</w:t>
      </w:r>
      <w:bookmarkEnd w:id="54"/>
    </w:p>
    <w:p w:rsidR="009D14A5" w:rsidRDefault="009D14A5" w:rsidP="009D14A5">
      <w:pPr>
        <w:tabs>
          <w:tab w:val="left" w:pos="7597"/>
        </w:tabs>
        <w:wordWrap w:val="0"/>
        <w:spacing w:line="360" w:lineRule="auto"/>
        <w:rPr>
          <w:rFonts w:ascii="宋体" w:eastAsia="宋体" w:hAnsi="宋体"/>
          <w:b/>
          <w:bCs/>
          <w:sz w:val="21"/>
          <w:szCs w:val="21"/>
        </w:rPr>
      </w:pPr>
    </w:p>
    <w:p w:rsidR="003B0360" w:rsidRDefault="003B0360" w:rsidP="009D14A5">
      <w:pPr>
        <w:tabs>
          <w:tab w:val="left" w:pos="7597"/>
        </w:tabs>
        <w:wordWrap w:val="0"/>
        <w:spacing w:line="360" w:lineRule="auto"/>
        <w:rPr>
          <w:rFonts w:ascii="宋体" w:eastAsia="宋体" w:hAnsi="宋体"/>
          <w:b/>
          <w:bCs/>
          <w:sz w:val="21"/>
          <w:szCs w:val="21"/>
        </w:rPr>
      </w:pPr>
    </w:p>
    <w:p w:rsidR="003B0360" w:rsidRDefault="003B0360" w:rsidP="009D14A5">
      <w:pPr>
        <w:tabs>
          <w:tab w:val="left" w:pos="7597"/>
        </w:tabs>
        <w:wordWrap w:val="0"/>
        <w:spacing w:line="360" w:lineRule="auto"/>
        <w:rPr>
          <w:rFonts w:ascii="宋体" w:eastAsia="宋体" w:hAnsi="宋体"/>
          <w:b/>
          <w:bCs/>
          <w:sz w:val="21"/>
          <w:szCs w:val="21"/>
        </w:rPr>
      </w:pPr>
    </w:p>
    <w:p w:rsidR="003B0360" w:rsidRDefault="003B0360" w:rsidP="009D14A5">
      <w:pPr>
        <w:tabs>
          <w:tab w:val="left" w:pos="7597"/>
        </w:tabs>
        <w:wordWrap w:val="0"/>
        <w:spacing w:line="360" w:lineRule="auto"/>
        <w:rPr>
          <w:rFonts w:ascii="宋体" w:eastAsia="宋体" w:hAnsi="宋体"/>
          <w:b/>
          <w:bCs/>
          <w:sz w:val="21"/>
          <w:szCs w:val="21"/>
        </w:rPr>
      </w:pPr>
    </w:p>
    <w:p w:rsidR="003B0360" w:rsidRDefault="003B0360" w:rsidP="009D14A5">
      <w:pPr>
        <w:tabs>
          <w:tab w:val="left" w:pos="7597"/>
        </w:tabs>
        <w:wordWrap w:val="0"/>
        <w:spacing w:line="360" w:lineRule="auto"/>
        <w:rPr>
          <w:rFonts w:ascii="宋体" w:eastAsia="宋体" w:hAnsi="宋体"/>
          <w:b/>
          <w:bCs/>
          <w:sz w:val="21"/>
          <w:szCs w:val="21"/>
        </w:rPr>
      </w:pPr>
    </w:p>
    <w:p w:rsidR="003B0360" w:rsidRDefault="003B0360" w:rsidP="009D14A5">
      <w:pPr>
        <w:tabs>
          <w:tab w:val="left" w:pos="7597"/>
        </w:tabs>
        <w:wordWrap w:val="0"/>
        <w:spacing w:line="360" w:lineRule="auto"/>
        <w:rPr>
          <w:rFonts w:ascii="宋体" w:eastAsia="宋体" w:hAnsi="宋体"/>
          <w:b/>
          <w:bCs/>
          <w:sz w:val="21"/>
          <w:szCs w:val="21"/>
        </w:rPr>
      </w:pPr>
    </w:p>
    <w:p w:rsidR="003B0360" w:rsidRDefault="003B0360" w:rsidP="009D14A5">
      <w:pPr>
        <w:tabs>
          <w:tab w:val="left" w:pos="7597"/>
        </w:tabs>
        <w:wordWrap w:val="0"/>
        <w:spacing w:line="360" w:lineRule="auto"/>
        <w:rPr>
          <w:rFonts w:ascii="宋体" w:eastAsia="宋体" w:hAnsi="宋体"/>
          <w:b/>
          <w:bCs/>
          <w:sz w:val="21"/>
          <w:szCs w:val="21"/>
        </w:rPr>
      </w:pPr>
    </w:p>
    <w:p w:rsidR="003B0360" w:rsidRDefault="003B0360" w:rsidP="009D14A5">
      <w:pPr>
        <w:tabs>
          <w:tab w:val="left" w:pos="7597"/>
        </w:tabs>
        <w:wordWrap w:val="0"/>
        <w:spacing w:line="360" w:lineRule="auto"/>
        <w:rPr>
          <w:rFonts w:ascii="宋体" w:eastAsia="宋体" w:hAnsi="宋体"/>
          <w:b/>
          <w:bCs/>
          <w:sz w:val="21"/>
          <w:szCs w:val="21"/>
        </w:rPr>
      </w:pPr>
    </w:p>
    <w:p w:rsidR="003B0360" w:rsidRDefault="003B0360" w:rsidP="009D14A5">
      <w:pPr>
        <w:tabs>
          <w:tab w:val="left" w:pos="7597"/>
        </w:tabs>
        <w:wordWrap w:val="0"/>
        <w:spacing w:line="360" w:lineRule="auto"/>
        <w:rPr>
          <w:rFonts w:ascii="宋体" w:eastAsia="宋体" w:hAnsi="宋体"/>
          <w:b/>
          <w:bCs/>
          <w:sz w:val="21"/>
          <w:szCs w:val="21"/>
        </w:rPr>
      </w:pPr>
    </w:p>
    <w:p w:rsidR="003B0360" w:rsidRDefault="003B0360" w:rsidP="009D14A5">
      <w:pPr>
        <w:tabs>
          <w:tab w:val="left" w:pos="7597"/>
        </w:tabs>
        <w:wordWrap w:val="0"/>
        <w:spacing w:line="360" w:lineRule="auto"/>
        <w:rPr>
          <w:rFonts w:ascii="宋体" w:eastAsia="宋体" w:hAnsi="宋体"/>
          <w:b/>
          <w:bCs/>
          <w:sz w:val="21"/>
          <w:szCs w:val="21"/>
        </w:rPr>
      </w:pPr>
    </w:p>
    <w:p w:rsidR="003B0360" w:rsidRPr="005B4D1E" w:rsidRDefault="003B0360" w:rsidP="009D14A5">
      <w:pPr>
        <w:tabs>
          <w:tab w:val="left" w:pos="7597"/>
        </w:tabs>
        <w:wordWrap w:val="0"/>
        <w:spacing w:line="360" w:lineRule="auto"/>
        <w:rPr>
          <w:rFonts w:ascii="宋体" w:eastAsia="宋体" w:hAnsi="宋体"/>
          <w:b/>
          <w:bCs/>
          <w:sz w:val="21"/>
          <w:szCs w:val="21"/>
        </w:rPr>
      </w:pPr>
    </w:p>
    <w:p w:rsidR="009D14A5" w:rsidRPr="005B4D1E" w:rsidRDefault="009D14A5" w:rsidP="003B0360">
      <w:pPr>
        <w:pStyle w:val="a6"/>
        <w:spacing w:before="156"/>
      </w:pPr>
      <w:bookmarkStart w:id="55" w:name="_Toc405816419"/>
      <w:r w:rsidRPr="005B4D1E">
        <w:rPr>
          <w:rFonts w:hint="eastAsia"/>
        </w:rPr>
        <w:lastRenderedPageBreak/>
        <w:t>表</w:t>
      </w:r>
      <w:r w:rsidR="003B0360">
        <w:rPr>
          <w:rFonts w:hint="eastAsia"/>
        </w:rPr>
        <w:t xml:space="preserve">12 </w:t>
      </w:r>
      <w:r w:rsidRPr="005B4D1E">
        <w:rPr>
          <w:rFonts w:hint="eastAsia"/>
        </w:rPr>
        <w:t>GX1001</w:t>
      </w:r>
      <w:r w:rsidRPr="005B4D1E">
        <w:rPr>
          <w:rFonts w:hint="eastAsia"/>
        </w:rPr>
        <w:t>株、</w:t>
      </w:r>
      <w:r w:rsidRPr="005B4D1E">
        <w:rPr>
          <w:rFonts w:hint="eastAsia"/>
        </w:rPr>
        <w:t>GX1002</w:t>
      </w:r>
      <w:r w:rsidRPr="005B4D1E">
        <w:rPr>
          <w:rFonts w:hint="eastAsia"/>
        </w:rPr>
        <w:t>株和</w:t>
      </w:r>
      <w:r w:rsidRPr="005B4D1E">
        <w:rPr>
          <w:rFonts w:hint="eastAsia"/>
        </w:rPr>
        <w:t>GX1003</w:t>
      </w:r>
      <w:r w:rsidRPr="005B4D1E">
        <w:rPr>
          <w:rFonts w:hint="eastAsia"/>
        </w:rPr>
        <w:t>株基因组组成及编码蛋白</w:t>
      </w:r>
      <w:bookmarkEnd w:id="55"/>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5270500" cy="3303905"/>
            <wp:effectExtent l="19050" t="0" r="6350" b="0"/>
            <wp:docPr id="4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53" cstate="print"/>
                    <a:srcRect/>
                    <a:stretch>
                      <a:fillRect/>
                    </a:stretch>
                  </pic:blipFill>
                  <pic:spPr bwMode="auto">
                    <a:xfrm>
                      <a:off x="0" y="0"/>
                      <a:ext cx="5270500" cy="3303905"/>
                    </a:xfrm>
                    <a:prstGeom prst="rect">
                      <a:avLst/>
                    </a:prstGeom>
                    <a:noFill/>
                    <a:ln w="9525">
                      <a:noFill/>
                      <a:miter lim="800000"/>
                      <a:headEnd/>
                      <a:tailEnd/>
                    </a:ln>
                  </pic:spPr>
                </pic:pic>
              </a:graphicData>
            </a:graphic>
          </wp:inline>
        </w:drawing>
      </w:r>
    </w:p>
    <w:p w:rsidR="009D14A5" w:rsidRPr="005B4D1E" w:rsidRDefault="009D14A5" w:rsidP="009D14A5">
      <w:pPr>
        <w:tabs>
          <w:tab w:val="left" w:pos="7597"/>
        </w:tabs>
        <w:wordWrap w:val="0"/>
        <w:spacing w:line="360" w:lineRule="auto"/>
        <w:rPr>
          <w:rFonts w:ascii="宋体" w:eastAsia="宋体" w:hAnsi="宋体"/>
          <w:sz w:val="21"/>
          <w:szCs w:val="21"/>
        </w:rPr>
      </w:pP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PRRSV分离株基因组序列同源性分析：</w:t>
      </w:r>
      <w:r w:rsidRPr="005B4D1E">
        <w:rPr>
          <w:rFonts w:ascii="宋体" w:eastAsia="宋体" w:hAnsi="宋体" w:hint="eastAsia"/>
          <w:sz w:val="21"/>
          <w:szCs w:val="21"/>
        </w:rPr>
        <w:t>应用DNAstar软件包对国内外PRRSV美洲型及欧洲型参考毒株（见表13）基因组核苷酸序列及其推导氨基酸序列进行同源性及比对分析。GX1001、GX1002和GX1003株与国内外PRRSV美洲型和欧洲型代表毒株的核苷酸及其推导的氨基酸序列的同源性见表14-17。</w:t>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GX1001、GX1002和GX1003株之间基因组核苷酸序列的同源性为99.3%～99.4%(表14)；与美洲型毒株基因组核苷酸序列的同源性分别为84.9%～99.1%、84.9%～99.5%和85.0%～99.4%；而与欧洲型毒株的同源性分别是61.6%～61.9%、61.5%～61.7%和60.5%～60.6%（表15-17）。GX1001、GX1002和GX1003株之间基因组推导的氨基酸序列的同源性为99.5%～99.7%（表14）；与美洲型毒株基因组推导的氨基酸序列的同源性分别为75.0%～99.5%、74.9%～99.3%和78.6%～99.1%；与欧洲型毒株的同源性分别为61.5%～61.7%、62.4%～62.6%和62.1%～62.3%（表15-17）。</w:t>
      </w:r>
    </w:p>
    <w:p w:rsidR="009D14A5" w:rsidRPr="005B4D1E" w:rsidRDefault="009D14A5" w:rsidP="005B4D1E">
      <w:pPr>
        <w:tabs>
          <w:tab w:val="left" w:pos="7597"/>
        </w:tabs>
        <w:wordWrap w:val="0"/>
        <w:spacing w:line="360" w:lineRule="auto"/>
        <w:ind w:firstLineChars="200" w:firstLine="420"/>
        <w:rPr>
          <w:rFonts w:ascii="宋体" w:eastAsia="宋体" w:hAnsi="宋体"/>
          <w:sz w:val="21"/>
          <w:szCs w:val="21"/>
        </w:rPr>
      </w:pPr>
      <w:r w:rsidRPr="005B4D1E">
        <w:rPr>
          <w:rFonts w:ascii="宋体" w:eastAsia="宋体" w:hAnsi="宋体" w:hint="eastAsia"/>
          <w:sz w:val="21"/>
          <w:szCs w:val="21"/>
        </w:rPr>
        <w:t>GX1001，GX1002和GX1003株与美洲型毒株5'UTR核苷酸序列的同源性为91.5%～100.0%，与LV株的同源性分别为63.3%、63.1%和62.8%；与美洲型毒株3'UTR核苷酸序列的同源性为86.7%～98.8%，与LV株的同源性分别为75.2%、74.4%和70.8%。与美洲型毒株ORFla～ORF1b核苷酸及其推导的氨基酸序列的同源性分别为81.8%～99.4%和82.5%～98.7%、87.1%～99.3%和82.6%～99.4%、82.0%～99.6%和83.0%～99.5%，与LV株的同源性分别为56.2%～63.1%和48.2%～68.5%、56.6%～63.3%和48.4%～68.9%、56.6%～63.3%和48.4%～68.9%；</w:t>
      </w:r>
      <w:r w:rsidRPr="005B4D1E">
        <w:rPr>
          <w:rFonts w:ascii="宋体" w:eastAsia="宋体" w:hAnsi="宋体" w:hint="eastAsia"/>
          <w:sz w:val="21"/>
          <w:szCs w:val="21"/>
        </w:rPr>
        <w:lastRenderedPageBreak/>
        <w:t>与美洲型毒株ORF2～ORF7核苷酸及其推导的氨基酸序列的同源性分别为83.9%～100%和85.8%～100%、84.3%～100%和86.6%～100%、85.8%～99.8%和83.5%～100%,与LV株的同源性分别为53.8%～75.2%和62.8%～80.5%、53.8%～74.4%和62.8%～80.5%、63.8%～73.5%和56.7%～80.5%。对各区域的核苷酸及推导氨基酸的同源性分析发现，ORFla同源性最低，ORF6/M同源性最高（表15-17）。</w:t>
      </w:r>
    </w:p>
    <w:p w:rsidR="009D14A5" w:rsidRPr="005B4D1E" w:rsidRDefault="009D14A5" w:rsidP="003B0360">
      <w:pPr>
        <w:pStyle w:val="a6"/>
        <w:spacing w:before="156"/>
      </w:pPr>
      <w:bookmarkStart w:id="56" w:name="_Toc405816420"/>
      <w:r w:rsidRPr="005B4D1E">
        <w:rPr>
          <w:rFonts w:hint="eastAsia"/>
        </w:rPr>
        <w:t>表</w:t>
      </w:r>
      <w:r w:rsidRPr="005B4D1E">
        <w:rPr>
          <w:rFonts w:hint="eastAsia"/>
        </w:rPr>
        <w:t>13</w:t>
      </w:r>
      <w:r w:rsidR="003B0360">
        <w:rPr>
          <w:rFonts w:hint="eastAsia"/>
        </w:rPr>
        <w:t xml:space="preserve"> </w:t>
      </w:r>
      <w:r w:rsidRPr="005B4D1E">
        <w:rPr>
          <w:rFonts w:hint="eastAsia"/>
        </w:rPr>
        <w:t>本研究所用的</w:t>
      </w:r>
      <w:r w:rsidRPr="005B4D1E">
        <w:rPr>
          <w:rFonts w:hint="eastAsia"/>
        </w:rPr>
        <w:t>PRRSV</w:t>
      </w:r>
      <w:r w:rsidRPr="005B4D1E">
        <w:rPr>
          <w:rFonts w:hint="eastAsia"/>
        </w:rPr>
        <w:t>参考毒株</w:t>
      </w:r>
      <w:bookmarkEnd w:id="56"/>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4485640" cy="4632325"/>
            <wp:effectExtent l="19050" t="0" r="0" b="0"/>
            <wp:docPr id="4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4" cstate="print"/>
                    <a:srcRect/>
                    <a:stretch>
                      <a:fillRect/>
                    </a:stretch>
                  </pic:blipFill>
                  <pic:spPr bwMode="auto">
                    <a:xfrm>
                      <a:off x="0" y="0"/>
                      <a:ext cx="4485640" cy="4632325"/>
                    </a:xfrm>
                    <a:prstGeom prst="rect">
                      <a:avLst/>
                    </a:prstGeom>
                    <a:noFill/>
                    <a:ln w="9525">
                      <a:noFill/>
                      <a:miter lim="800000"/>
                      <a:headEnd/>
                      <a:tailEnd/>
                    </a:ln>
                  </pic:spPr>
                </pic:pic>
              </a:graphicData>
            </a:graphic>
          </wp:inline>
        </w:drawing>
      </w:r>
    </w:p>
    <w:p w:rsidR="009D14A5" w:rsidRDefault="009D14A5" w:rsidP="009D14A5">
      <w:pPr>
        <w:tabs>
          <w:tab w:val="left" w:pos="7597"/>
        </w:tabs>
        <w:wordWrap w:val="0"/>
        <w:spacing w:line="360" w:lineRule="auto"/>
        <w:rPr>
          <w:rFonts w:ascii="宋体" w:eastAsia="宋体" w:hAnsi="宋体"/>
          <w:sz w:val="21"/>
          <w:szCs w:val="21"/>
        </w:rPr>
      </w:pPr>
    </w:p>
    <w:p w:rsidR="003B0360" w:rsidRDefault="003B0360" w:rsidP="009D14A5">
      <w:pPr>
        <w:tabs>
          <w:tab w:val="left" w:pos="7597"/>
        </w:tabs>
        <w:wordWrap w:val="0"/>
        <w:spacing w:line="360" w:lineRule="auto"/>
        <w:rPr>
          <w:rFonts w:ascii="宋体" w:eastAsia="宋体" w:hAnsi="宋体"/>
          <w:sz w:val="21"/>
          <w:szCs w:val="21"/>
        </w:rPr>
      </w:pPr>
    </w:p>
    <w:p w:rsidR="003B0360" w:rsidRDefault="003B0360" w:rsidP="009D14A5">
      <w:pPr>
        <w:tabs>
          <w:tab w:val="left" w:pos="7597"/>
        </w:tabs>
        <w:wordWrap w:val="0"/>
        <w:spacing w:line="360" w:lineRule="auto"/>
        <w:rPr>
          <w:rFonts w:ascii="宋体" w:eastAsia="宋体" w:hAnsi="宋体"/>
          <w:sz w:val="21"/>
          <w:szCs w:val="21"/>
        </w:rPr>
      </w:pPr>
    </w:p>
    <w:p w:rsidR="003B0360" w:rsidRDefault="003B0360" w:rsidP="009D14A5">
      <w:pPr>
        <w:tabs>
          <w:tab w:val="left" w:pos="7597"/>
        </w:tabs>
        <w:wordWrap w:val="0"/>
        <w:spacing w:line="360" w:lineRule="auto"/>
        <w:rPr>
          <w:rFonts w:ascii="宋体" w:eastAsia="宋体" w:hAnsi="宋体"/>
          <w:sz w:val="21"/>
          <w:szCs w:val="21"/>
        </w:rPr>
      </w:pPr>
    </w:p>
    <w:p w:rsidR="003B0360" w:rsidRDefault="003B0360" w:rsidP="009D14A5">
      <w:pPr>
        <w:tabs>
          <w:tab w:val="left" w:pos="7597"/>
        </w:tabs>
        <w:wordWrap w:val="0"/>
        <w:spacing w:line="360" w:lineRule="auto"/>
        <w:rPr>
          <w:rFonts w:ascii="宋体" w:eastAsia="宋体" w:hAnsi="宋体"/>
          <w:sz w:val="21"/>
          <w:szCs w:val="21"/>
        </w:rPr>
      </w:pPr>
    </w:p>
    <w:p w:rsidR="003B0360" w:rsidRPr="005B4D1E" w:rsidRDefault="003B0360" w:rsidP="009D14A5">
      <w:pPr>
        <w:tabs>
          <w:tab w:val="left" w:pos="7597"/>
        </w:tabs>
        <w:wordWrap w:val="0"/>
        <w:spacing w:line="360" w:lineRule="auto"/>
        <w:rPr>
          <w:rFonts w:ascii="宋体" w:eastAsia="宋体" w:hAnsi="宋体"/>
          <w:sz w:val="21"/>
          <w:szCs w:val="21"/>
        </w:rPr>
      </w:pPr>
    </w:p>
    <w:p w:rsidR="009D14A5" w:rsidRPr="005B4D1E" w:rsidRDefault="009D14A5" w:rsidP="003B0360">
      <w:pPr>
        <w:pStyle w:val="a6"/>
        <w:spacing w:before="156"/>
      </w:pPr>
      <w:bookmarkStart w:id="57" w:name="_Toc405816421"/>
      <w:r w:rsidRPr="005B4D1E">
        <w:rPr>
          <w:rFonts w:hint="eastAsia"/>
        </w:rPr>
        <w:lastRenderedPageBreak/>
        <w:t>表</w:t>
      </w:r>
      <w:r w:rsidR="003B0360">
        <w:rPr>
          <w:rFonts w:hint="eastAsia"/>
        </w:rPr>
        <w:t xml:space="preserve">14 </w:t>
      </w:r>
      <w:r w:rsidRPr="005B4D1E">
        <w:rPr>
          <w:rFonts w:hint="eastAsia"/>
        </w:rPr>
        <w:t>GX1001</w:t>
      </w:r>
      <w:r w:rsidRPr="005B4D1E">
        <w:rPr>
          <w:rFonts w:hint="eastAsia"/>
        </w:rPr>
        <w:t>、</w:t>
      </w:r>
      <w:r w:rsidRPr="005B4D1E">
        <w:rPr>
          <w:rFonts w:hint="eastAsia"/>
        </w:rPr>
        <w:t>GX1002</w:t>
      </w:r>
      <w:r w:rsidRPr="005B4D1E">
        <w:rPr>
          <w:rFonts w:hint="eastAsia"/>
        </w:rPr>
        <w:t>及</w:t>
      </w:r>
      <w:r w:rsidRPr="005B4D1E">
        <w:rPr>
          <w:rFonts w:hint="eastAsia"/>
        </w:rPr>
        <w:t>GX1003</w:t>
      </w:r>
      <w:r w:rsidRPr="005B4D1E">
        <w:rPr>
          <w:rFonts w:hint="eastAsia"/>
        </w:rPr>
        <w:t>株间基因组核苷酸及其推导氨基酸的同源性分析</w:t>
      </w:r>
      <w:bookmarkEnd w:id="57"/>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3390265" cy="6124575"/>
            <wp:effectExtent l="19050" t="0" r="635" b="0"/>
            <wp:docPr id="4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55" cstate="print"/>
                    <a:srcRect/>
                    <a:stretch>
                      <a:fillRect/>
                    </a:stretch>
                  </pic:blipFill>
                  <pic:spPr bwMode="auto">
                    <a:xfrm>
                      <a:off x="0" y="0"/>
                      <a:ext cx="3390265" cy="6124575"/>
                    </a:xfrm>
                    <a:prstGeom prst="rect">
                      <a:avLst/>
                    </a:prstGeom>
                    <a:noFill/>
                    <a:ln w="9525">
                      <a:noFill/>
                      <a:miter lim="800000"/>
                      <a:headEnd/>
                      <a:tailEnd/>
                    </a:ln>
                  </pic:spPr>
                </pic:pic>
              </a:graphicData>
            </a:graphic>
          </wp:inline>
        </w:drawing>
      </w:r>
    </w:p>
    <w:p w:rsidR="009D14A5" w:rsidRDefault="009D14A5" w:rsidP="009D14A5">
      <w:pPr>
        <w:tabs>
          <w:tab w:val="left" w:pos="7597"/>
        </w:tabs>
        <w:wordWrap w:val="0"/>
        <w:spacing w:line="360" w:lineRule="auto"/>
        <w:rPr>
          <w:rFonts w:ascii="宋体" w:eastAsia="宋体" w:hAnsi="宋体"/>
          <w:sz w:val="21"/>
          <w:szCs w:val="21"/>
        </w:rPr>
      </w:pPr>
    </w:p>
    <w:p w:rsidR="003B0360" w:rsidRDefault="003B0360" w:rsidP="009D14A5">
      <w:pPr>
        <w:tabs>
          <w:tab w:val="left" w:pos="7597"/>
        </w:tabs>
        <w:wordWrap w:val="0"/>
        <w:spacing w:line="360" w:lineRule="auto"/>
        <w:rPr>
          <w:rFonts w:ascii="宋体" w:eastAsia="宋体" w:hAnsi="宋体"/>
          <w:sz w:val="21"/>
          <w:szCs w:val="21"/>
        </w:rPr>
      </w:pPr>
    </w:p>
    <w:p w:rsidR="003B0360" w:rsidRDefault="003B0360" w:rsidP="009D14A5">
      <w:pPr>
        <w:tabs>
          <w:tab w:val="left" w:pos="7597"/>
        </w:tabs>
        <w:wordWrap w:val="0"/>
        <w:spacing w:line="360" w:lineRule="auto"/>
        <w:rPr>
          <w:rFonts w:ascii="宋体" w:eastAsia="宋体" w:hAnsi="宋体"/>
          <w:sz w:val="21"/>
          <w:szCs w:val="21"/>
        </w:rPr>
      </w:pPr>
    </w:p>
    <w:p w:rsidR="003B0360" w:rsidRDefault="003B0360" w:rsidP="009D14A5">
      <w:pPr>
        <w:tabs>
          <w:tab w:val="left" w:pos="7597"/>
        </w:tabs>
        <w:wordWrap w:val="0"/>
        <w:spacing w:line="360" w:lineRule="auto"/>
        <w:rPr>
          <w:rFonts w:ascii="宋体" w:eastAsia="宋体" w:hAnsi="宋体"/>
          <w:sz w:val="21"/>
          <w:szCs w:val="21"/>
        </w:rPr>
      </w:pPr>
    </w:p>
    <w:p w:rsidR="003B0360" w:rsidRDefault="003B0360" w:rsidP="009D14A5">
      <w:pPr>
        <w:tabs>
          <w:tab w:val="left" w:pos="7597"/>
        </w:tabs>
        <w:wordWrap w:val="0"/>
        <w:spacing w:line="360" w:lineRule="auto"/>
        <w:rPr>
          <w:rFonts w:ascii="宋体" w:eastAsia="宋体" w:hAnsi="宋体"/>
          <w:sz w:val="21"/>
          <w:szCs w:val="21"/>
        </w:rPr>
      </w:pPr>
    </w:p>
    <w:p w:rsidR="003B0360" w:rsidRPr="005B4D1E" w:rsidRDefault="003B0360" w:rsidP="009D14A5">
      <w:pPr>
        <w:tabs>
          <w:tab w:val="left" w:pos="7597"/>
        </w:tabs>
        <w:wordWrap w:val="0"/>
        <w:spacing w:line="360" w:lineRule="auto"/>
        <w:rPr>
          <w:rFonts w:ascii="宋体" w:eastAsia="宋体" w:hAnsi="宋体"/>
          <w:sz w:val="21"/>
          <w:szCs w:val="21"/>
        </w:rPr>
      </w:pPr>
    </w:p>
    <w:p w:rsidR="009D14A5" w:rsidRPr="005B4D1E" w:rsidRDefault="009D14A5" w:rsidP="003B0360">
      <w:pPr>
        <w:pStyle w:val="a6"/>
        <w:spacing w:before="156"/>
      </w:pPr>
      <w:bookmarkStart w:id="58" w:name="_Toc405816422"/>
      <w:r w:rsidRPr="005B4D1E">
        <w:rPr>
          <w:rFonts w:hint="eastAsia"/>
        </w:rPr>
        <w:lastRenderedPageBreak/>
        <w:t>表</w:t>
      </w:r>
      <w:r w:rsidR="003B0360">
        <w:rPr>
          <w:rFonts w:hint="eastAsia"/>
        </w:rPr>
        <w:t xml:space="preserve">15 </w:t>
      </w:r>
      <w:r w:rsidRPr="005B4D1E">
        <w:rPr>
          <w:rFonts w:hint="eastAsia"/>
        </w:rPr>
        <w:t>GX1001</w:t>
      </w:r>
      <w:r w:rsidRPr="005B4D1E">
        <w:rPr>
          <w:rFonts w:hint="eastAsia"/>
        </w:rPr>
        <w:t>株核苷酸和氨基酸序列与代表株的同源性分析</w:t>
      </w:r>
      <w:r w:rsidRPr="005B4D1E">
        <w:rPr>
          <w:rFonts w:hint="eastAsia"/>
        </w:rPr>
        <w:t>(%)</w:t>
      </w:r>
      <w:bookmarkEnd w:id="58"/>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4391025" cy="6159500"/>
            <wp:effectExtent l="19050" t="0" r="9525" b="0"/>
            <wp:docPr id="4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6" cstate="print"/>
                    <a:srcRect/>
                    <a:stretch>
                      <a:fillRect/>
                    </a:stretch>
                  </pic:blipFill>
                  <pic:spPr bwMode="auto">
                    <a:xfrm>
                      <a:off x="0" y="0"/>
                      <a:ext cx="4391025" cy="6159500"/>
                    </a:xfrm>
                    <a:prstGeom prst="rect">
                      <a:avLst/>
                    </a:prstGeom>
                    <a:noFill/>
                    <a:ln w="9525">
                      <a:noFill/>
                      <a:miter lim="800000"/>
                      <a:headEnd/>
                      <a:tailEnd/>
                    </a:ln>
                  </pic:spPr>
                </pic:pic>
              </a:graphicData>
            </a:graphic>
          </wp:inline>
        </w:drawing>
      </w:r>
    </w:p>
    <w:p w:rsidR="009D14A5" w:rsidRDefault="009D14A5" w:rsidP="009D14A5">
      <w:pPr>
        <w:tabs>
          <w:tab w:val="left" w:pos="7597"/>
        </w:tabs>
        <w:wordWrap w:val="0"/>
        <w:spacing w:line="360" w:lineRule="auto"/>
        <w:rPr>
          <w:rFonts w:ascii="宋体" w:eastAsia="宋体" w:hAnsi="宋体"/>
          <w:sz w:val="21"/>
          <w:szCs w:val="21"/>
        </w:rPr>
      </w:pPr>
    </w:p>
    <w:p w:rsidR="003B0360" w:rsidRDefault="003B0360" w:rsidP="009D14A5">
      <w:pPr>
        <w:tabs>
          <w:tab w:val="left" w:pos="7597"/>
        </w:tabs>
        <w:wordWrap w:val="0"/>
        <w:spacing w:line="360" w:lineRule="auto"/>
        <w:rPr>
          <w:rFonts w:ascii="宋体" w:eastAsia="宋体" w:hAnsi="宋体"/>
          <w:sz w:val="21"/>
          <w:szCs w:val="21"/>
        </w:rPr>
      </w:pPr>
    </w:p>
    <w:p w:rsidR="003B0360" w:rsidRDefault="003B0360" w:rsidP="009D14A5">
      <w:pPr>
        <w:tabs>
          <w:tab w:val="left" w:pos="7597"/>
        </w:tabs>
        <w:wordWrap w:val="0"/>
        <w:spacing w:line="360" w:lineRule="auto"/>
        <w:rPr>
          <w:rFonts w:ascii="宋体" w:eastAsia="宋体" w:hAnsi="宋体"/>
          <w:sz w:val="21"/>
          <w:szCs w:val="21"/>
        </w:rPr>
      </w:pPr>
    </w:p>
    <w:p w:rsidR="003B0360" w:rsidRDefault="003B0360" w:rsidP="009D14A5">
      <w:pPr>
        <w:tabs>
          <w:tab w:val="left" w:pos="7597"/>
        </w:tabs>
        <w:wordWrap w:val="0"/>
        <w:spacing w:line="360" w:lineRule="auto"/>
        <w:rPr>
          <w:rFonts w:ascii="宋体" w:eastAsia="宋体" w:hAnsi="宋体"/>
          <w:sz w:val="21"/>
          <w:szCs w:val="21"/>
        </w:rPr>
      </w:pPr>
    </w:p>
    <w:p w:rsidR="003B0360" w:rsidRDefault="003B0360" w:rsidP="009D14A5">
      <w:pPr>
        <w:tabs>
          <w:tab w:val="left" w:pos="7597"/>
        </w:tabs>
        <w:wordWrap w:val="0"/>
        <w:spacing w:line="360" w:lineRule="auto"/>
        <w:rPr>
          <w:rFonts w:ascii="宋体" w:eastAsia="宋体" w:hAnsi="宋体"/>
          <w:sz w:val="21"/>
          <w:szCs w:val="21"/>
        </w:rPr>
      </w:pPr>
    </w:p>
    <w:p w:rsidR="003B0360" w:rsidRPr="005B4D1E" w:rsidRDefault="003B0360" w:rsidP="009D14A5">
      <w:pPr>
        <w:tabs>
          <w:tab w:val="left" w:pos="7597"/>
        </w:tabs>
        <w:wordWrap w:val="0"/>
        <w:spacing w:line="360" w:lineRule="auto"/>
        <w:rPr>
          <w:rFonts w:ascii="宋体" w:eastAsia="宋体" w:hAnsi="宋体"/>
          <w:sz w:val="21"/>
          <w:szCs w:val="21"/>
        </w:rPr>
      </w:pPr>
    </w:p>
    <w:p w:rsidR="009D14A5" w:rsidRPr="005B4D1E" w:rsidRDefault="009D14A5" w:rsidP="003B0360">
      <w:pPr>
        <w:pStyle w:val="a6"/>
        <w:spacing w:before="156"/>
      </w:pPr>
      <w:bookmarkStart w:id="59" w:name="_Toc405816423"/>
      <w:r w:rsidRPr="005B4D1E">
        <w:rPr>
          <w:rFonts w:hint="eastAsia"/>
        </w:rPr>
        <w:lastRenderedPageBreak/>
        <w:t>表</w:t>
      </w:r>
      <w:r w:rsidR="003B0360">
        <w:rPr>
          <w:rFonts w:hint="eastAsia"/>
        </w:rPr>
        <w:t xml:space="preserve">16 </w:t>
      </w:r>
      <w:r w:rsidRPr="005B4D1E">
        <w:rPr>
          <w:rFonts w:hint="eastAsia"/>
        </w:rPr>
        <w:t>GX1002</w:t>
      </w:r>
      <w:r w:rsidRPr="005B4D1E">
        <w:rPr>
          <w:rFonts w:hint="eastAsia"/>
        </w:rPr>
        <w:t>株核苷酸和氨基酸序列与代表株的同源性分析</w:t>
      </w:r>
      <w:r w:rsidRPr="005B4D1E">
        <w:rPr>
          <w:rFonts w:hint="eastAsia"/>
        </w:rPr>
        <w:t>(%)</w:t>
      </w:r>
      <w:bookmarkEnd w:id="59"/>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4779010" cy="6263005"/>
            <wp:effectExtent l="19050" t="0" r="2540" b="0"/>
            <wp:docPr id="4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7" cstate="print"/>
                    <a:srcRect/>
                    <a:stretch>
                      <a:fillRect/>
                    </a:stretch>
                  </pic:blipFill>
                  <pic:spPr bwMode="auto">
                    <a:xfrm>
                      <a:off x="0" y="0"/>
                      <a:ext cx="4779010" cy="6263005"/>
                    </a:xfrm>
                    <a:prstGeom prst="rect">
                      <a:avLst/>
                    </a:prstGeom>
                    <a:noFill/>
                    <a:ln w="9525">
                      <a:noFill/>
                      <a:miter lim="800000"/>
                      <a:headEnd/>
                      <a:tailEnd/>
                    </a:ln>
                  </pic:spPr>
                </pic:pic>
              </a:graphicData>
            </a:graphic>
          </wp:inline>
        </w:drawing>
      </w:r>
    </w:p>
    <w:p w:rsidR="009D14A5" w:rsidRDefault="009D14A5" w:rsidP="009D14A5">
      <w:pPr>
        <w:tabs>
          <w:tab w:val="left" w:pos="7597"/>
        </w:tabs>
        <w:wordWrap w:val="0"/>
        <w:spacing w:line="360" w:lineRule="auto"/>
        <w:rPr>
          <w:rFonts w:ascii="宋体" w:eastAsia="宋体" w:hAnsi="宋体"/>
          <w:sz w:val="21"/>
          <w:szCs w:val="21"/>
        </w:rPr>
      </w:pPr>
    </w:p>
    <w:p w:rsidR="003B0360" w:rsidRDefault="003B0360" w:rsidP="009D14A5">
      <w:pPr>
        <w:tabs>
          <w:tab w:val="left" w:pos="7597"/>
        </w:tabs>
        <w:wordWrap w:val="0"/>
        <w:spacing w:line="360" w:lineRule="auto"/>
        <w:rPr>
          <w:rFonts w:ascii="宋体" w:eastAsia="宋体" w:hAnsi="宋体"/>
          <w:sz w:val="21"/>
          <w:szCs w:val="21"/>
        </w:rPr>
      </w:pPr>
    </w:p>
    <w:p w:rsidR="003B0360" w:rsidRDefault="003B0360" w:rsidP="009D14A5">
      <w:pPr>
        <w:tabs>
          <w:tab w:val="left" w:pos="7597"/>
        </w:tabs>
        <w:wordWrap w:val="0"/>
        <w:spacing w:line="360" w:lineRule="auto"/>
        <w:rPr>
          <w:rFonts w:ascii="宋体" w:eastAsia="宋体" w:hAnsi="宋体"/>
          <w:sz w:val="21"/>
          <w:szCs w:val="21"/>
        </w:rPr>
      </w:pPr>
    </w:p>
    <w:p w:rsidR="003B0360" w:rsidRDefault="003B0360" w:rsidP="009D14A5">
      <w:pPr>
        <w:tabs>
          <w:tab w:val="left" w:pos="7597"/>
        </w:tabs>
        <w:wordWrap w:val="0"/>
        <w:spacing w:line="360" w:lineRule="auto"/>
        <w:rPr>
          <w:rFonts w:ascii="宋体" w:eastAsia="宋体" w:hAnsi="宋体"/>
          <w:sz w:val="21"/>
          <w:szCs w:val="21"/>
        </w:rPr>
      </w:pPr>
    </w:p>
    <w:p w:rsidR="003B0360" w:rsidRDefault="003B0360" w:rsidP="009D14A5">
      <w:pPr>
        <w:tabs>
          <w:tab w:val="left" w:pos="7597"/>
        </w:tabs>
        <w:wordWrap w:val="0"/>
        <w:spacing w:line="360" w:lineRule="auto"/>
        <w:rPr>
          <w:rFonts w:ascii="宋体" w:eastAsia="宋体" w:hAnsi="宋体"/>
          <w:sz w:val="21"/>
          <w:szCs w:val="21"/>
        </w:rPr>
      </w:pPr>
    </w:p>
    <w:p w:rsidR="003B0360" w:rsidRPr="005B4D1E" w:rsidRDefault="003B0360" w:rsidP="009D14A5">
      <w:pPr>
        <w:tabs>
          <w:tab w:val="left" w:pos="7597"/>
        </w:tabs>
        <w:wordWrap w:val="0"/>
        <w:spacing w:line="360" w:lineRule="auto"/>
        <w:rPr>
          <w:rFonts w:ascii="宋体" w:eastAsia="宋体" w:hAnsi="宋体"/>
          <w:sz w:val="21"/>
          <w:szCs w:val="21"/>
        </w:rPr>
      </w:pPr>
    </w:p>
    <w:p w:rsidR="009D14A5" w:rsidRPr="005B4D1E" w:rsidRDefault="009D14A5" w:rsidP="003B0360">
      <w:pPr>
        <w:pStyle w:val="a6"/>
        <w:spacing w:before="156"/>
      </w:pPr>
      <w:bookmarkStart w:id="60" w:name="_Toc405816424"/>
      <w:r w:rsidRPr="005B4D1E">
        <w:rPr>
          <w:rFonts w:hint="eastAsia"/>
        </w:rPr>
        <w:lastRenderedPageBreak/>
        <w:t>表</w:t>
      </w:r>
      <w:r w:rsidR="003B0360">
        <w:rPr>
          <w:rFonts w:hint="eastAsia"/>
        </w:rPr>
        <w:t xml:space="preserve">17 </w:t>
      </w:r>
      <w:r w:rsidRPr="005B4D1E">
        <w:rPr>
          <w:rFonts w:hint="eastAsia"/>
        </w:rPr>
        <w:t>GX1003</w:t>
      </w:r>
      <w:r w:rsidRPr="005B4D1E">
        <w:rPr>
          <w:rFonts w:hint="eastAsia"/>
        </w:rPr>
        <w:t>株核苷酸和氨基酸序列与代表株的同源性分析</w:t>
      </w:r>
      <w:r w:rsidRPr="005B4D1E">
        <w:rPr>
          <w:rFonts w:hint="eastAsia"/>
        </w:rPr>
        <w:t>(%)</w:t>
      </w:r>
      <w:bookmarkEnd w:id="60"/>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4425315" cy="6254115"/>
            <wp:effectExtent l="19050" t="0" r="0" b="0"/>
            <wp:docPr id="4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58" cstate="print"/>
                    <a:srcRect/>
                    <a:stretch>
                      <a:fillRect/>
                    </a:stretch>
                  </pic:blipFill>
                  <pic:spPr bwMode="auto">
                    <a:xfrm>
                      <a:off x="0" y="0"/>
                      <a:ext cx="4425315" cy="6254115"/>
                    </a:xfrm>
                    <a:prstGeom prst="rect">
                      <a:avLst/>
                    </a:prstGeom>
                    <a:noFill/>
                    <a:ln w="9525">
                      <a:noFill/>
                      <a:miter lim="800000"/>
                      <a:headEnd/>
                      <a:tailEnd/>
                    </a:ln>
                  </pic:spPr>
                </pic:pic>
              </a:graphicData>
            </a:graphic>
          </wp:inline>
        </w:drawing>
      </w:r>
    </w:p>
    <w:p w:rsidR="009D14A5" w:rsidRPr="005B4D1E" w:rsidRDefault="009D14A5" w:rsidP="009D14A5">
      <w:pPr>
        <w:tabs>
          <w:tab w:val="left" w:pos="7597"/>
        </w:tabs>
        <w:wordWrap w:val="0"/>
        <w:spacing w:line="360" w:lineRule="auto"/>
        <w:rPr>
          <w:rFonts w:ascii="宋体" w:eastAsia="宋体" w:hAnsi="宋体"/>
          <w:sz w:val="21"/>
          <w:szCs w:val="21"/>
        </w:rPr>
      </w:pPr>
    </w:p>
    <w:p w:rsidR="009D14A5" w:rsidRPr="005B4D1E" w:rsidRDefault="009D14A5" w:rsidP="005B4D1E">
      <w:pPr>
        <w:tabs>
          <w:tab w:val="left" w:pos="7597"/>
        </w:tabs>
        <w:wordWrap w:val="0"/>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PRRSV分离株基因组核苷酸及氨基酸序列比对分析：</w:t>
      </w:r>
      <w:r w:rsidRPr="005B4D1E">
        <w:rPr>
          <w:rFonts w:ascii="宋体" w:eastAsia="宋体" w:hAnsi="宋体" w:hint="eastAsia"/>
          <w:sz w:val="21"/>
          <w:szCs w:val="21"/>
        </w:rPr>
        <w:t>将GX1001、GX1002和GX1003株基因组核苷酸序列及其推导的氨基酸序列与HP-PRRSV代表株JXA1株进行比对分析，其主要变异结果见表18。在非编码区，与JXA1株相比，GX1002株5</w:t>
      </w:r>
      <w:r w:rsidRPr="005B4D1E">
        <w:rPr>
          <w:rFonts w:ascii="宋体" w:eastAsia="宋体" w:hAnsi="宋体"/>
          <w:sz w:val="21"/>
          <w:szCs w:val="21"/>
        </w:rPr>
        <w:t>′</w:t>
      </w:r>
      <w:r w:rsidRPr="005B4D1E">
        <w:rPr>
          <w:rFonts w:ascii="宋体" w:eastAsia="宋体" w:hAnsi="宋体" w:hint="eastAsia"/>
          <w:sz w:val="21"/>
          <w:szCs w:val="21"/>
        </w:rPr>
        <w:t>UTR的第109位nt发生缺失，全长只有188 nt；GX1001株、GX1002、GX1003株在3</w:t>
      </w:r>
      <w:r w:rsidRPr="005B4D1E">
        <w:rPr>
          <w:rFonts w:ascii="宋体" w:eastAsia="宋体" w:hAnsi="宋体"/>
          <w:sz w:val="21"/>
          <w:szCs w:val="21"/>
        </w:rPr>
        <w:t>′</w:t>
      </w:r>
      <w:r w:rsidRPr="005B4D1E">
        <w:rPr>
          <w:rFonts w:ascii="宋体" w:eastAsia="宋体" w:hAnsi="宋体" w:hint="eastAsia"/>
          <w:sz w:val="21"/>
          <w:szCs w:val="21"/>
        </w:rPr>
        <w:t>UTR分别发生2、4、2个nt的突变。在非结构蛋白编码区ORFla、ORFlb中，GX1001株发生了97个nt、53个aa的突变，其中ORFla有76个nt、39个aa发生突变，ORF1b有21个nt、14个aa发生突变，没有发生核苷酸缺失的现象，但在NSP9插入了3个nt（1个aa，即在第159位插入1个L）；GX1002株</w:t>
      </w:r>
      <w:r w:rsidRPr="005B4D1E">
        <w:rPr>
          <w:rFonts w:ascii="宋体" w:eastAsia="宋体" w:hAnsi="宋体" w:hint="eastAsia"/>
          <w:sz w:val="21"/>
          <w:szCs w:val="21"/>
        </w:rPr>
        <w:lastRenderedPageBreak/>
        <w:t>的ORFla、ORF1b发生了73个nt、35个aa的突变，其中ORF</w:t>
      </w:r>
      <w:smartTag w:uri="urn:schemas-microsoft-com:office:smarttags" w:element="chmetcnv">
        <w:smartTagPr>
          <w:attr w:name="TCSC" w:val="0"/>
          <w:attr w:name="NumberType" w:val="1"/>
          <w:attr w:name="Negative" w:val="False"/>
          <w:attr w:name="HasSpace" w:val="False"/>
          <w:attr w:name="SourceValue" w:val="1"/>
          <w:attr w:name="UnitName" w:val="a"/>
        </w:smartTagPr>
        <w:r w:rsidRPr="005B4D1E">
          <w:rPr>
            <w:rFonts w:ascii="宋体" w:eastAsia="宋体" w:hAnsi="宋体" w:hint="eastAsia"/>
            <w:sz w:val="21"/>
            <w:szCs w:val="21"/>
          </w:rPr>
          <w:t>1a</w:t>
        </w:r>
      </w:smartTag>
      <w:r w:rsidRPr="005B4D1E">
        <w:rPr>
          <w:rFonts w:ascii="宋体" w:eastAsia="宋体" w:hAnsi="宋体" w:hint="eastAsia"/>
          <w:sz w:val="21"/>
          <w:szCs w:val="21"/>
        </w:rPr>
        <w:t>有59个nt、26个aa发生突变，ORF1b有14个nt、9个aa发生突变，没有核苷酸缺失与插入的现象；GX1003株发生了74个nt、24个aa的突变，其中ORF</w:t>
      </w:r>
      <w:smartTag w:uri="urn:schemas-microsoft-com:office:smarttags" w:element="chmetcnv">
        <w:smartTagPr>
          <w:attr w:name="TCSC" w:val="0"/>
          <w:attr w:name="NumberType" w:val="1"/>
          <w:attr w:name="Negative" w:val="False"/>
          <w:attr w:name="HasSpace" w:val="False"/>
          <w:attr w:name="SourceValue" w:val="1"/>
          <w:attr w:name="UnitName" w:val="a"/>
        </w:smartTagPr>
        <w:r w:rsidRPr="005B4D1E">
          <w:rPr>
            <w:rFonts w:ascii="宋体" w:eastAsia="宋体" w:hAnsi="宋体" w:hint="eastAsia"/>
            <w:sz w:val="21"/>
            <w:szCs w:val="21"/>
          </w:rPr>
          <w:t>1a</w:t>
        </w:r>
      </w:smartTag>
      <w:r w:rsidRPr="005B4D1E">
        <w:rPr>
          <w:rFonts w:ascii="宋体" w:eastAsia="宋体" w:hAnsi="宋体" w:hint="eastAsia"/>
          <w:sz w:val="21"/>
          <w:szCs w:val="21"/>
        </w:rPr>
        <w:t>有55个nt、19个aa发生突变，ORF1b有19个nt、5个aa发生突变，没有核苷酸缺失与插入的现象。而与VR-2332株相比，3个分离株均在NSP2蛋白第481位aa和第533～561位aa出现30个aa的不连续缺失，具有HP-PRRSV的遗传特征。在结构蛋白编码区OFR2～ORF7中，GX1001株有40个nt、33个aa发生了突变，没有核苷酸的缺失，在ORF</w:t>
      </w:r>
      <w:smartTag w:uri="urn:schemas-microsoft-com:office:smarttags" w:element="chmetcnv">
        <w:smartTagPr>
          <w:attr w:name="TCSC" w:val="0"/>
          <w:attr w:name="NumberType" w:val="1"/>
          <w:attr w:name="Negative" w:val="False"/>
          <w:attr w:name="HasSpace" w:val="False"/>
          <w:attr w:name="SourceValue" w:val="2"/>
          <w:attr w:name="UnitName" w:val="a"/>
        </w:smartTagPr>
        <w:r w:rsidRPr="005B4D1E">
          <w:rPr>
            <w:rFonts w:ascii="宋体" w:eastAsia="宋体" w:hAnsi="宋体" w:hint="eastAsia"/>
            <w:sz w:val="21"/>
            <w:szCs w:val="21"/>
          </w:rPr>
          <w:t>2a</w:t>
        </w:r>
      </w:smartTag>
      <w:r w:rsidRPr="005B4D1E">
        <w:rPr>
          <w:rFonts w:ascii="宋体" w:eastAsia="宋体" w:hAnsi="宋体" w:hint="eastAsia"/>
          <w:sz w:val="21"/>
          <w:szCs w:val="21"/>
        </w:rPr>
        <w:t>插入3个nt（1个aa，即在GP2第87位插入1个G）：GX1002株有36个nt、23个aa发生了突变，GX1003株有27个nt、18个aa发生了突变，但2个毒株均没有核苷酸缺失与插入的现象。</w:t>
      </w:r>
    </w:p>
    <w:p w:rsidR="009D14A5" w:rsidRPr="005B4D1E" w:rsidRDefault="009D14A5" w:rsidP="003B0360">
      <w:pPr>
        <w:pStyle w:val="a6"/>
        <w:spacing w:before="156"/>
      </w:pPr>
      <w:bookmarkStart w:id="61" w:name="_Toc405816425"/>
      <w:r w:rsidRPr="005B4D1E">
        <w:rPr>
          <w:rFonts w:hint="eastAsia"/>
        </w:rPr>
        <w:t>表</w:t>
      </w:r>
      <w:r w:rsidR="003B0360">
        <w:rPr>
          <w:rFonts w:hint="eastAsia"/>
        </w:rPr>
        <w:t xml:space="preserve">18 </w:t>
      </w:r>
      <w:r w:rsidRPr="005B4D1E">
        <w:rPr>
          <w:rFonts w:hint="eastAsia"/>
        </w:rPr>
        <w:t>GX1001</w:t>
      </w:r>
      <w:r w:rsidRPr="005B4D1E">
        <w:rPr>
          <w:rFonts w:hint="eastAsia"/>
        </w:rPr>
        <w:t>、</w:t>
      </w:r>
      <w:r w:rsidRPr="005B4D1E">
        <w:rPr>
          <w:rFonts w:hint="eastAsia"/>
        </w:rPr>
        <w:t>GX1002</w:t>
      </w:r>
      <w:r w:rsidRPr="005B4D1E">
        <w:rPr>
          <w:rFonts w:hint="eastAsia"/>
        </w:rPr>
        <w:t>和</w:t>
      </w:r>
      <w:r w:rsidRPr="005B4D1E">
        <w:rPr>
          <w:rFonts w:hint="eastAsia"/>
        </w:rPr>
        <w:t>GX1003</w:t>
      </w:r>
      <w:r w:rsidRPr="005B4D1E">
        <w:rPr>
          <w:rFonts w:hint="eastAsia"/>
        </w:rPr>
        <w:t>株各个基因片段与</w:t>
      </w:r>
      <w:r w:rsidRPr="005B4D1E">
        <w:rPr>
          <w:rFonts w:hint="eastAsia"/>
        </w:rPr>
        <w:t>JXA1</w:t>
      </w:r>
      <w:r w:rsidRPr="005B4D1E">
        <w:rPr>
          <w:rFonts w:hint="eastAsia"/>
        </w:rPr>
        <w:t>株的比对分析</w:t>
      </w:r>
      <w:bookmarkEnd w:id="61"/>
    </w:p>
    <w:p w:rsidR="009D14A5" w:rsidRPr="005B4D1E" w:rsidRDefault="009D14A5" w:rsidP="009D14A5">
      <w:pPr>
        <w:tabs>
          <w:tab w:val="left" w:pos="7597"/>
        </w:tabs>
        <w:wordWrap w:val="0"/>
        <w:spacing w:line="360" w:lineRule="auto"/>
        <w:jc w:val="center"/>
        <w:rPr>
          <w:rFonts w:ascii="宋体" w:eastAsia="宋体" w:hAnsi="宋体"/>
          <w:b/>
          <w:bCs/>
          <w:sz w:val="21"/>
          <w:szCs w:val="21"/>
        </w:rPr>
      </w:pPr>
      <w:r w:rsidRPr="005B4D1E">
        <w:rPr>
          <w:rFonts w:ascii="宋体" w:eastAsia="宋体" w:hAnsi="宋体"/>
          <w:noProof/>
          <w:sz w:val="21"/>
          <w:szCs w:val="21"/>
        </w:rPr>
        <w:drawing>
          <wp:inline distT="0" distB="0" distL="0" distR="0">
            <wp:extent cx="4977130" cy="4270375"/>
            <wp:effectExtent l="19050" t="0" r="0" b="0"/>
            <wp:docPr id="5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9" cstate="print"/>
                    <a:srcRect/>
                    <a:stretch>
                      <a:fillRect/>
                    </a:stretch>
                  </pic:blipFill>
                  <pic:spPr bwMode="auto">
                    <a:xfrm>
                      <a:off x="0" y="0"/>
                      <a:ext cx="4977130" cy="4270375"/>
                    </a:xfrm>
                    <a:prstGeom prst="rect">
                      <a:avLst/>
                    </a:prstGeom>
                    <a:noFill/>
                    <a:ln w="9525">
                      <a:noFill/>
                      <a:miter lim="800000"/>
                      <a:headEnd/>
                      <a:tailEnd/>
                    </a:ln>
                  </pic:spPr>
                </pic:pic>
              </a:graphicData>
            </a:graphic>
          </wp:inline>
        </w:drawing>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注：表中分子为核苷酸，分母为氨基酸：“</w:t>
      </w:r>
      <w:r w:rsidRPr="005B4D1E">
        <w:rPr>
          <w:rFonts w:ascii="宋体" w:eastAsia="宋体" w:hAnsi="宋体" w:cs="Arial"/>
          <w:sz w:val="21"/>
          <w:szCs w:val="21"/>
        </w:rPr>
        <w:t>－</w:t>
      </w:r>
      <w:r w:rsidRPr="005B4D1E">
        <w:rPr>
          <w:rFonts w:ascii="宋体" w:eastAsia="宋体" w:hAnsi="宋体" w:hint="eastAsia"/>
          <w:sz w:val="21"/>
          <w:szCs w:val="21"/>
        </w:rPr>
        <w:t>”表示不存在变异。</w:t>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将GX1001、GX1002和GX1003株与美洲型疫苗株RespPRRS MLV(GenBank登录号：AF159149)、美洲型经典毒株VR-2332株以及变异毒株JXA1株氨基酸序列进行比较，重要氨基酸位点的变异情况见表19。Allende等发现，PRRSV全基因组序列中，有9个氨基酸的变异与PRRSV的毒力相关，其中4个位于非结构蛋白，5个位于结构蛋白。4个位于非结构蛋白的毒力相关位点中，它们在VR-2332株氨基酸序列的位置分别为S</w:t>
      </w:r>
      <w:r w:rsidRPr="005B4D1E">
        <w:rPr>
          <w:rFonts w:ascii="宋体" w:eastAsia="宋体" w:hAnsi="宋体" w:hint="eastAsia"/>
          <w:sz w:val="21"/>
          <w:szCs w:val="21"/>
          <w:vertAlign w:val="superscript"/>
        </w:rPr>
        <w:t>331</w:t>
      </w:r>
      <w:r w:rsidRPr="005B4D1E">
        <w:rPr>
          <w:rFonts w:ascii="宋体" w:eastAsia="宋体" w:hAnsi="宋体" w:hint="eastAsia"/>
          <w:sz w:val="21"/>
          <w:szCs w:val="21"/>
        </w:rPr>
        <w:t>(NSP1</w:t>
      </w:r>
      <w:r w:rsidRPr="005B4D1E">
        <w:rPr>
          <w:rFonts w:ascii="宋体" w:eastAsia="宋体" w:hAnsi="宋体" w:cs="Arial"/>
          <w:sz w:val="21"/>
          <w:szCs w:val="21"/>
        </w:rPr>
        <w:t>β</w:t>
      </w:r>
      <w:r w:rsidRPr="005B4D1E">
        <w:rPr>
          <w:rFonts w:ascii="宋体" w:eastAsia="宋体" w:hAnsi="宋体" w:hint="eastAsia"/>
          <w:sz w:val="21"/>
          <w:szCs w:val="21"/>
        </w:rPr>
        <w:t>)、S</w:t>
      </w:r>
      <w:r w:rsidRPr="005B4D1E">
        <w:rPr>
          <w:rFonts w:ascii="宋体" w:eastAsia="宋体" w:hAnsi="宋体" w:hint="eastAsia"/>
          <w:sz w:val="21"/>
          <w:szCs w:val="21"/>
          <w:vertAlign w:val="superscript"/>
        </w:rPr>
        <w:t>668</w:t>
      </w:r>
      <w:r w:rsidRPr="005B4D1E">
        <w:rPr>
          <w:rFonts w:ascii="宋体" w:eastAsia="宋体" w:hAnsi="宋体" w:hint="eastAsia"/>
          <w:sz w:val="21"/>
          <w:szCs w:val="21"/>
        </w:rPr>
        <w:t>(NSP2)、E</w:t>
      </w:r>
      <w:r w:rsidRPr="005B4D1E">
        <w:rPr>
          <w:rFonts w:ascii="宋体" w:eastAsia="宋体" w:hAnsi="宋体" w:hint="eastAsia"/>
          <w:sz w:val="21"/>
          <w:szCs w:val="21"/>
          <w:vertAlign w:val="superscript"/>
        </w:rPr>
        <w:t>9</w:t>
      </w:r>
      <w:r w:rsidRPr="005B4D1E">
        <w:rPr>
          <w:rFonts w:ascii="宋体" w:eastAsia="宋体" w:hAnsi="宋体" w:hint="eastAsia"/>
          <w:sz w:val="21"/>
          <w:szCs w:val="21"/>
          <w:vertAlign w:val="superscript"/>
        </w:rPr>
        <w:lastRenderedPageBreak/>
        <w:t>52</w:t>
      </w:r>
      <w:r w:rsidRPr="005B4D1E">
        <w:rPr>
          <w:rFonts w:ascii="宋体" w:eastAsia="宋体" w:hAnsi="宋体" w:hint="eastAsia"/>
          <w:sz w:val="21"/>
          <w:szCs w:val="21"/>
        </w:rPr>
        <w:t>(NSP2)（JXAI株相应位点为E</w:t>
      </w:r>
      <w:r w:rsidRPr="005B4D1E">
        <w:rPr>
          <w:rFonts w:ascii="宋体" w:eastAsia="宋体" w:hAnsi="宋体" w:hint="eastAsia"/>
          <w:sz w:val="21"/>
          <w:szCs w:val="21"/>
          <w:vertAlign w:val="superscript"/>
        </w:rPr>
        <w:t>922</w:t>
      </w:r>
      <w:r w:rsidRPr="005B4D1E">
        <w:rPr>
          <w:rFonts w:ascii="宋体" w:eastAsia="宋体" w:hAnsi="宋体" w:hint="eastAsia"/>
          <w:sz w:val="21"/>
          <w:szCs w:val="21"/>
        </w:rPr>
        <w:t>）、Y</w:t>
      </w:r>
      <w:r w:rsidRPr="005B4D1E">
        <w:rPr>
          <w:rFonts w:ascii="宋体" w:eastAsia="宋体" w:hAnsi="宋体" w:hint="eastAsia"/>
          <w:sz w:val="21"/>
          <w:szCs w:val="21"/>
          <w:vertAlign w:val="superscript"/>
        </w:rPr>
        <w:t>952</w:t>
      </w:r>
      <w:r w:rsidRPr="005B4D1E">
        <w:rPr>
          <w:rFonts w:ascii="宋体" w:eastAsia="宋体" w:hAnsi="宋体" w:hint="eastAsia"/>
          <w:sz w:val="21"/>
          <w:szCs w:val="21"/>
        </w:rPr>
        <w:t>(NSP10)，而疫苗株RespPRRS MLV在这4个位点上发生突变，分别为S</w:t>
      </w:r>
      <w:r w:rsidRPr="005B4D1E">
        <w:rPr>
          <w:rFonts w:ascii="宋体" w:eastAsia="宋体" w:hAnsi="宋体" w:hint="eastAsia"/>
          <w:sz w:val="21"/>
          <w:szCs w:val="21"/>
          <w:vertAlign w:val="superscript"/>
        </w:rPr>
        <w:t>331</w:t>
      </w:r>
      <w:r w:rsidRPr="005B4D1E">
        <w:rPr>
          <w:rFonts w:ascii="宋体" w:eastAsia="宋体" w:hAnsi="宋体"/>
          <w:sz w:val="21"/>
          <w:szCs w:val="21"/>
        </w:rPr>
        <w:t>→</w:t>
      </w:r>
      <w:r w:rsidRPr="005B4D1E">
        <w:rPr>
          <w:rFonts w:ascii="宋体" w:eastAsia="宋体" w:hAnsi="宋体" w:hint="eastAsia"/>
          <w:sz w:val="21"/>
          <w:szCs w:val="21"/>
        </w:rPr>
        <w:t>F</w:t>
      </w:r>
      <w:r w:rsidRPr="005B4D1E">
        <w:rPr>
          <w:rFonts w:ascii="宋体" w:eastAsia="宋体" w:hAnsi="宋体" w:hint="eastAsia"/>
          <w:sz w:val="21"/>
          <w:szCs w:val="21"/>
          <w:vertAlign w:val="superscript"/>
        </w:rPr>
        <w:t>331</w:t>
      </w:r>
      <w:r w:rsidRPr="005B4D1E">
        <w:rPr>
          <w:rFonts w:ascii="宋体" w:eastAsia="宋体" w:hAnsi="宋体" w:hint="eastAsia"/>
          <w:sz w:val="21"/>
          <w:szCs w:val="21"/>
        </w:rPr>
        <w:t>、S</w:t>
      </w:r>
      <w:r w:rsidRPr="005B4D1E">
        <w:rPr>
          <w:rFonts w:ascii="宋体" w:eastAsia="宋体" w:hAnsi="宋体" w:hint="eastAsia"/>
          <w:sz w:val="21"/>
          <w:szCs w:val="21"/>
          <w:vertAlign w:val="superscript"/>
        </w:rPr>
        <w:t>668</w:t>
      </w:r>
      <w:r w:rsidRPr="005B4D1E">
        <w:rPr>
          <w:rFonts w:ascii="宋体" w:eastAsia="宋体" w:hAnsi="宋体"/>
          <w:sz w:val="21"/>
          <w:szCs w:val="21"/>
        </w:rPr>
        <w:t>→</w:t>
      </w:r>
      <w:r w:rsidRPr="005B4D1E">
        <w:rPr>
          <w:rFonts w:ascii="宋体" w:eastAsia="宋体" w:hAnsi="宋体" w:hint="eastAsia"/>
          <w:sz w:val="21"/>
          <w:szCs w:val="21"/>
        </w:rPr>
        <w:t>F</w:t>
      </w:r>
      <w:r w:rsidRPr="005B4D1E">
        <w:rPr>
          <w:rFonts w:ascii="宋体" w:eastAsia="宋体" w:hAnsi="宋体" w:hint="eastAsia"/>
          <w:sz w:val="21"/>
          <w:szCs w:val="21"/>
          <w:vertAlign w:val="superscript"/>
        </w:rPr>
        <w:t>668</w:t>
      </w:r>
      <w:r w:rsidRPr="005B4D1E">
        <w:rPr>
          <w:rFonts w:ascii="宋体" w:eastAsia="宋体" w:hAnsi="宋体" w:hint="eastAsia"/>
          <w:sz w:val="21"/>
          <w:szCs w:val="21"/>
        </w:rPr>
        <w:t>、E</w:t>
      </w:r>
      <w:r w:rsidRPr="005B4D1E">
        <w:rPr>
          <w:rFonts w:ascii="宋体" w:eastAsia="宋体" w:hAnsi="宋体" w:hint="eastAsia"/>
          <w:sz w:val="21"/>
          <w:szCs w:val="21"/>
          <w:vertAlign w:val="superscript"/>
        </w:rPr>
        <w:t>952</w:t>
      </w:r>
      <w:r w:rsidRPr="005B4D1E">
        <w:rPr>
          <w:rFonts w:ascii="宋体" w:eastAsia="宋体" w:hAnsi="宋体"/>
          <w:sz w:val="21"/>
          <w:szCs w:val="21"/>
        </w:rPr>
        <w:t>→</w:t>
      </w:r>
      <w:r w:rsidRPr="005B4D1E">
        <w:rPr>
          <w:rFonts w:ascii="宋体" w:eastAsia="宋体" w:hAnsi="宋体" w:hint="eastAsia"/>
          <w:sz w:val="21"/>
          <w:szCs w:val="21"/>
        </w:rPr>
        <w:t>K</w:t>
      </w:r>
      <w:r w:rsidRPr="005B4D1E">
        <w:rPr>
          <w:rFonts w:ascii="宋体" w:eastAsia="宋体" w:hAnsi="宋体" w:hint="eastAsia"/>
          <w:sz w:val="21"/>
          <w:szCs w:val="21"/>
          <w:vertAlign w:val="superscript"/>
        </w:rPr>
        <w:t>952</w:t>
      </w:r>
      <w:r w:rsidRPr="005B4D1E">
        <w:rPr>
          <w:rFonts w:ascii="宋体" w:eastAsia="宋体" w:hAnsi="宋体" w:hint="eastAsia"/>
          <w:sz w:val="21"/>
          <w:szCs w:val="21"/>
        </w:rPr>
        <w:t>和Y</w:t>
      </w:r>
      <w:r w:rsidRPr="005B4D1E">
        <w:rPr>
          <w:rFonts w:ascii="宋体" w:eastAsia="宋体" w:hAnsi="宋体" w:hint="eastAsia"/>
          <w:sz w:val="21"/>
          <w:szCs w:val="21"/>
          <w:vertAlign w:val="superscript"/>
        </w:rPr>
        <w:t>952</w:t>
      </w:r>
      <w:r w:rsidRPr="005B4D1E">
        <w:rPr>
          <w:rFonts w:ascii="宋体" w:eastAsia="宋体" w:hAnsi="宋体"/>
          <w:sz w:val="21"/>
          <w:szCs w:val="21"/>
        </w:rPr>
        <w:t>→</w:t>
      </w:r>
      <w:r w:rsidRPr="005B4D1E">
        <w:rPr>
          <w:rFonts w:ascii="宋体" w:eastAsia="宋体" w:hAnsi="宋体" w:hint="eastAsia"/>
          <w:sz w:val="21"/>
          <w:szCs w:val="21"/>
        </w:rPr>
        <w:t>H</w:t>
      </w:r>
      <w:r w:rsidRPr="005B4D1E">
        <w:rPr>
          <w:rFonts w:ascii="宋体" w:eastAsia="宋体" w:hAnsi="宋体" w:hint="eastAsia"/>
          <w:sz w:val="21"/>
          <w:szCs w:val="21"/>
          <w:vertAlign w:val="superscript"/>
        </w:rPr>
        <w:t>952</w:t>
      </w:r>
      <w:r w:rsidRPr="005B4D1E">
        <w:rPr>
          <w:rFonts w:ascii="宋体" w:eastAsia="宋体" w:hAnsi="宋体" w:hint="eastAsia"/>
          <w:sz w:val="21"/>
          <w:szCs w:val="21"/>
        </w:rPr>
        <w:t>（见表19）。本研究所得的3个PRRSV毒株的非结构蛋白，与毒力相关的这四个位点都没有发生变异。5个位于结构蛋白的毒力相关位点中，它们在VR-2332株氨基酸序列的位置分别为L</w:t>
      </w:r>
      <w:r w:rsidRPr="005B4D1E">
        <w:rPr>
          <w:rFonts w:ascii="宋体" w:eastAsia="宋体" w:hAnsi="宋体" w:hint="eastAsia"/>
          <w:sz w:val="21"/>
          <w:szCs w:val="21"/>
          <w:vertAlign w:val="superscript"/>
        </w:rPr>
        <w:t>l0</w:t>
      </w:r>
      <w:r w:rsidRPr="005B4D1E">
        <w:rPr>
          <w:rFonts w:ascii="宋体" w:eastAsia="宋体" w:hAnsi="宋体" w:hint="eastAsia"/>
          <w:sz w:val="21"/>
          <w:szCs w:val="21"/>
        </w:rPr>
        <w:t>(GP2)、G</w:t>
      </w:r>
      <w:r w:rsidRPr="005B4D1E">
        <w:rPr>
          <w:rFonts w:ascii="宋体" w:eastAsia="宋体" w:hAnsi="宋体" w:hint="eastAsia"/>
          <w:sz w:val="21"/>
          <w:szCs w:val="21"/>
          <w:vertAlign w:val="superscript"/>
        </w:rPr>
        <w:t>83</w:t>
      </w:r>
      <w:r w:rsidRPr="005B4D1E">
        <w:rPr>
          <w:rFonts w:ascii="宋体" w:eastAsia="宋体" w:hAnsi="宋体" w:hint="eastAsia"/>
          <w:sz w:val="21"/>
          <w:szCs w:val="21"/>
        </w:rPr>
        <w:t>(GP3)、R</w:t>
      </w:r>
      <w:r w:rsidRPr="005B4D1E">
        <w:rPr>
          <w:rFonts w:ascii="宋体" w:eastAsia="宋体" w:hAnsi="宋体" w:hint="eastAsia"/>
          <w:sz w:val="21"/>
          <w:szCs w:val="21"/>
          <w:vertAlign w:val="superscript"/>
        </w:rPr>
        <w:t>13</w:t>
      </w:r>
      <w:r w:rsidRPr="005B4D1E">
        <w:rPr>
          <w:rFonts w:ascii="宋体" w:eastAsia="宋体" w:hAnsi="宋体" w:hint="eastAsia"/>
          <w:sz w:val="21"/>
          <w:szCs w:val="21"/>
        </w:rPr>
        <w:t>(GP5)、R</w:t>
      </w:r>
      <w:r w:rsidRPr="005B4D1E">
        <w:rPr>
          <w:rFonts w:ascii="宋体" w:eastAsia="宋体" w:hAnsi="宋体" w:hint="eastAsia"/>
          <w:sz w:val="21"/>
          <w:szCs w:val="21"/>
          <w:vertAlign w:val="superscript"/>
        </w:rPr>
        <w:t>151</w:t>
      </w:r>
      <w:r w:rsidRPr="005B4D1E">
        <w:rPr>
          <w:rFonts w:ascii="宋体" w:eastAsia="宋体" w:hAnsi="宋体" w:hint="eastAsia"/>
          <w:sz w:val="21"/>
          <w:szCs w:val="21"/>
        </w:rPr>
        <w:t>(GP5)、Q</w:t>
      </w:r>
      <w:r w:rsidRPr="005B4D1E">
        <w:rPr>
          <w:rFonts w:ascii="宋体" w:eastAsia="宋体" w:hAnsi="宋体" w:hint="eastAsia"/>
          <w:sz w:val="21"/>
          <w:szCs w:val="21"/>
          <w:vertAlign w:val="superscript"/>
        </w:rPr>
        <w:t>16</w:t>
      </w:r>
      <w:r w:rsidRPr="005B4D1E">
        <w:rPr>
          <w:rFonts w:ascii="宋体" w:eastAsia="宋体" w:hAnsi="宋体" w:hint="eastAsia"/>
          <w:sz w:val="21"/>
          <w:szCs w:val="21"/>
        </w:rPr>
        <w:t>(M)，而疫苗株RespPRRS MLV在这5个位点均发生了变异，分别由L</w:t>
      </w:r>
      <w:r w:rsidRPr="005B4D1E">
        <w:rPr>
          <w:rFonts w:ascii="宋体" w:eastAsia="宋体" w:hAnsi="宋体" w:hint="eastAsia"/>
          <w:sz w:val="21"/>
          <w:szCs w:val="21"/>
          <w:vertAlign w:val="superscript"/>
        </w:rPr>
        <w:t>10</w:t>
      </w:r>
      <w:r w:rsidRPr="005B4D1E">
        <w:rPr>
          <w:rFonts w:ascii="宋体" w:eastAsia="宋体" w:hAnsi="宋体"/>
          <w:sz w:val="21"/>
          <w:szCs w:val="21"/>
        </w:rPr>
        <w:t>→</w:t>
      </w:r>
      <w:r w:rsidRPr="005B4D1E">
        <w:rPr>
          <w:rFonts w:ascii="宋体" w:eastAsia="宋体" w:hAnsi="宋体" w:hint="eastAsia"/>
          <w:sz w:val="21"/>
          <w:szCs w:val="21"/>
        </w:rPr>
        <w:t>F</w:t>
      </w:r>
      <w:r w:rsidRPr="005B4D1E">
        <w:rPr>
          <w:rFonts w:ascii="宋体" w:eastAsia="宋体" w:hAnsi="宋体" w:hint="eastAsia"/>
          <w:sz w:val="21"/>
          <w:szCs w:val="21"/>
          <w:vertAlign w:val="superscript"/>
        </w:rPr>
        <w:t>l0</w:t>
      </w:r>
      <w:r w:rsidRPr="005B4D1E">
        <w:rPr>
          <w:rFonts w:ascii="宋体" w:eastAsia="宋体" w:hAnsi="宋体" w:hint="eastAsia"/>
          <w:sz w:val="21"/>
          <w:szCs w:val="21"/>
        </w:rPr>
        <w:t>、G</w:t>
      </w:r>
      <w:r w:rsidRPr="005B4D1E">
        <w:rPr>
          <w:rFonts w:ascii="宋体" w:eastAsia="宋体" w:hAnsi="宋体" w:hint="eastAsia"/>
          <w:sz w:val="21"/>
          <w:szCs w:val="21"/>
          <w:vertAlign w:val="superscript"/>
        </w:rPr>
        <w:t>83</w:t>
      </w:r>
      <w:r w:rsidRPr="005B4D1E">
        <w:rPr>
          <w:rFonts w:ascii="宋体" w:eastAsia="宋体" w:hAnsi="宋体"/>
          <w:sz w:val="21"/>
          <w:szCs w:val="21"/>
        </w:rPr>
        <w:t>→</w:t>
      </w:r>
      <w:r w:rsidRPr="005B4D1E">
        <w:rPr>
          <w:rFonts w:ascii="宋体" w:eastAsia="宋体" w:hAnsi="宋体" w:hint="eastAsia"/>
          <w:sz w:val="21"/>
          <w:szCs w:val="21"/>
        </w:rPr>
        <w:t>E</w:t>
      </w:r>
      <w:r w:rsidRPr="005B4D1E">
        <w:rPr>
          <w:rFonts w:ascii="宋体" w:eastAsia="宋体" w:hAnsi="宋体" w:hint="eastAsia"/>
          <w:sz w:val="21"/>
          <w:szCs w:val="21"/>
          <w:vertAlign w:val="superscript"/>
        </w:rPr>
        <w:t>83</w:t>
      </w:r>
      <w:r w:rsidRPr="005B4D1E">
        <w:rPr>
          <w:rFonts w:ascii="宋体" w:eastAsia="宋体" w:hAnsi="宋体" w:hint="eastAsia"/>
          <w:sz w:val="21"/>
          <w:szCs w:val="21"/>
        </w:rPr>
        <w:t>、R</w:t>
      </w:r>
      <w:r w:rsidRPr="005B4D1E">
        <w:rPr>
          <w:rFonts w:ascii="宋体" w:eastAsia="宋体" w:hAnsi="宋体" w:hint="eastAsia"/>
          <w:sz w:val="21"/>
          <w:szCs w:val="21"/>
          <w:vertAlign w:val="superscript"/>
        </w:rPr>
        <w:t>13</w:t>
      </w:r>
      <w:r w:rsidRPr="005B4D1E">
        <w:rPr>
          <w:rFonts w:ascii="宋体" w:eastAsia="宋体" w:hAnsi="宋体"/>
          <w:sz w:val="21"/>
          <w:szCs w:val="21"/>
        </w:rPr>
        <w:t>→</w:t>
      </w:r>
      <w:r w:rsidRPr="005B4D1E">
        <w:rPr>
          <w:rFonts w:ascii="宋体" w:eastAsia="宋体" w:hAnsi="宋体" w:hint="eastAsia"/>
          <w:sz w:val="21"/>
          <w:szCs w:val="21"/>
        </w:rPr>
        <w:t>Q</w:t>
      </w:r>
      <w:r w:rsidRPr="005B4D1E">
        <w:rPr>
          <w:rFonts w:ascii="宋体" w:eastAsia="宋体" w:hAnsi="宋体" w:hint="eastAsia"/>
          <w:sz w:val="21"/>
          <w:szCs w:val="21"/>
          <w:vertAlign w:val="superscript"/>
        </w:rPr>
        <w:t>13</w:t>
      </w:r>
      <w:r w:rsidRPr="005B4D1E">
        <w:rPr>
          <w:rFonts w:ascii="宋体" w:eastAsia="宋体" w:hAnsi="宋体" w:hint="eastAsia"/>
          <w:sz w:val="21"/>
          <w:szCs w:val="21"/>
        </w:rPr>
        <w:t>、R</w:t>
      </w:r>
      <w:r w:rsidRPr="005B4D1E">
        <w:rPr>
          <w:rFonts w:ascii="宋体" w:eastAsia="宋体" w:hAnsi="宋体" w:hint="eastAsia"/>
          <w:sz w:val="21"/>
          <w:szCs w:val="21"/>
          <w:vertAlign w:val="superscript"/>
        </w:rPr>
        <w:t>151</w:t>
      </w:r>
      <w:r w:rsidRPr="005B4D1E">
        <w:rPr>
          <w:rFonts w:ascii="宋体" w:eastAsia="宋体" w:hAnsi="宋体"/>
          <w:sz w:val="21"/>
          <w:szCs w:val="21"/>
        </w:rPr>
        <w:t>→</w:t>
      </w:r>
      <w:r w:rsidRPr="005B4D1E">
        <w:rPr>
          <w:rFonts w:ascii="宋体" w:eastAsia="宋体" w:hAnsi="宋体" w:hint="eastAsia"/>
          <w:sz w:val="21"/>
          <w:szCs w:val="21"/>
        </w:rPr>
        <w:t>G</w:t>
      </w:r>
      <w:r w:rsidRPr="005B4D1E">
        <w:rPr>
          <w:rFonts w:ascii="宋体" w:eastAsia="宋体" w:hAnsi="宋体" w:hint="eastAsia"/>
          <w:sz w:val="21"/>
          <w:szCs w:val="21"/>
          <w:vertAlign w:val="superscript"/>
        </w:rPr>
        <w:t>151</w:t>
      </w:r>
      <w:r w:rsidRPr="005B4D1E">
        <w:rPr>
          <w:rFonts w:ascii="宋体" w:eastAsia="宋体" w:hAnsi="宋体" w:hint="eastAsia"/>
          <w:sz w:val="21"/>
          <w:szCs w:val="21"/>
        </w:rPr>
        <w:t>、Q</w:t>
      </w:r>
      <w:r w:rsidRPr="005B4D1E">
        <w:rPr>
          <w:rFonts w:ascii="宋体" w:eastAsia="宋体" w:hAnsi="宋体" w:hint="eastAsia"/>
          <w:sz w:val="21"/>
          <w:szCs w:val="21"/>
          <w:vertAlign w:val="superscript"/>
        </w:rPr>
        <w:t>16</w:t>
      </w:r>
      <w:r w:rsidRPr="005B4D1E">
        <w:rPr>
          <w:rFonts w:ascii="宋体" w:eastAsia="宋体" w:hAnsi="宋体"/>
          <w:sz w:val="21"/>
          <w:szCs w:val="21"/>
        </w:rPr>
        <w:t>→</w:t>
      </w:r>
      <w:r w:rsidRPr="005B4D1E">
        <w:rPr>
          <w:rFonts w:ascii="宋体" w:eastAsia="宋体" w:hAnsi="宋体" w:hint="eastAsia"/>
          <w:sz w:val="21"/>
          <w:szCs w:val="21"/>
        </w:rPr>
        <w:t>E</w:t>
      </w:r>
      <w:r w:rsidRPr="005B4D1E">
        <w:rPr>
          <w:rFonts w:ascii="宋体" w:eastAsia="宋体" w:hAnsi="宋体" w:hint="eastAsia"/>
          <w:sz w:val="21"/>
          <w:szCs w:val="21"/>
          <w:vertAlign w:val="superscript"/>
        </w:rPr>
        <w:t>16</w:t>
      </w:r>
      <w:r w:rsidRPr="005B4D1E">
        <w:rPr>
          <w:rFonts w:ascii="宋体" w:eastAsia="宋体" w:hAnsi="宋体" w:hint="eastAsia"/>
          <w:sz w:val="21"/>
          <w:szCs w:val="21"/>
        </w:rPr>
        <w:t>。本研究的GX1001、GX1002和GX1003株在R</w:t>
      </w:r>
      <w:r w:rsidRPr="005B4D1E">
        <w:rPr>
          <w:rFonts w:ascii="宋体" w:eastAsia="宋体" w:hAnsi="宋体" w:hint="eastAsia"/>
          <w:sz w:val="21"/>
          <w:szCs w:val="21"/>
          <w:vertAlign w:val="superscript"/>
        </w:rPr>
        <w:t>13</w:t>
      </w:r>
      <w:r w:rsidRPr="005B4D1E">
        <w:rPr>
          <w:rFonts w:ascii="宋体" w:eastAsia="宋体" w:hAnsi="宋体" w:hint="eastAsia"/>
          <w:sz w:val="21"/>
          <w:szCs w:val="21"/>
        </w:rPr>
        <w:t>、R</w:t>
      </w:r>
      <w:r w:rsidRPr="005B4D1E">
        <w:rPr>
          <w:rFonts w:ascii="宋体" w:eastAsia="宋体" w:hAnsi="宋体" w:hint="eastAsia"/>
          <w:sz w:val="21"/>
          <w:szCs w:val="21"/>
          <w:vertAlign w:val="superscript"/>
        </w:rPr>
        <w:t>151</w:t>
      </w:r>
      <w:r w:rsidRPr="005B4D1E">
        <w:rPr>
          <w:rFonts w:ascii="宋体" w:eastAsia="宋体" w:hAnsi="宋体" w:hint="eastAsia"/>
          <w:sz w:val="21"/>
          <w:szCs w:val="21"/>
        </w:rPr>
        <w:t>、Q</w:t>
      </w:r>
      <w:r w:rsidRPr="005B4D1E">
        <w:rPr>
          <w:rFonts w:ascii="宋体" w:eastAsia="宋体" w:hAnsi="宋体" w:hint="eastAsia"/>
          <w:sz w:val="21"/>
          <w:szCs w:val="21"/>
          <w:vertAlign w:val="superscript"/>
        </w:rPr>
        <w:t>16</w:t>
      </w:r>
      <w:r w:rsidRPr="005B4D1E">
        <w:rPr>
          <w:rFonts w:ascii="宋体" w:eastAsia="宋体" w:hAnsi="宋体" w:hint="eastAsia"/>
          <w:sz w:val="21"/>
          <w:szCs w:val="21"/>
        </w:rPr>
        <w:t>位点均未发生变异，而G83</w:t>
      </w:r>
      <w:r w:rsidRPr="005B4D1E">
        <w:rPr>
          <w:rFonts w:ascii="宋体" w:eastAsia="宋体" w:hAnsi="宋体"/>
          <w:sz w:val="21"/>
          <w:szCs w:val="21"/>
        </w:rPr>
        <w:t>→</w:t>
      </w:r>
      <w:r w:rsidRPr="005B4D1E">
        <w:rPr>
          <w:rFonts w:ascii="宋体" w:eastAsia="宋体" w:hAnsi="宋体" w:hint="eastAsia"/>
          <w:sz w:val="21"/>
          <w:szCs w:val="21"/>
        </w:rPr>
        <w:t>S83（与JXA1株一致），同时GX1001和GX1003株保持L</w:t>
      </w:r>
      <w:r w:rsidRPr="005B4D1E">
        <w:rPr>
          <w:rFonts w:ascii="宋体" w:eastAsia="宋体" w:hAnsi="宋体" w:hint="eastAsia"/>
          <w:sz w:val="21"/>
          <w:szCs w:val="21"/>
          <w:vertAlign w:val="superscript"/>
        </w:rPr>
        <w:t>10</w:t>
      </w:r>
      <w:r w:rsidRPr="005B4D1E">
        <w:rPr>
          <w:rFonts w:ascii="宋体" w:eastAsia="宋体" w:hAnsi="宋体" w:hint="eastAsia"/>
          <w:sz w:val="21"/>
          <w:szCs w:val="21"/>
        </w:rPr>
        <w:t>不变、GX1002株发生了L</w:t>
      </w:r>
      <w:r w:rsidRPr="005B4D1E">
        <w:rPr>
          <w:rFonts w:ascii="宋体" w:eastAsia="宋体" w:hAnsi="宋体" w:hint="eastAsia"/>
          <w:sz w:val="21"/>
          <w:szCs w:val="21"/>
          <w:vertAlign w:val="superscript"/>
        </w:rPr>
        <w:t>10</w:t>
      </w:r>
      <w:r w:rsidRPr="005B4D1E">
        <w:rPr>
          <w:rFonts w:ascii="宋体" w:eastAsia="宋体" w:hAnsi="宋体"/>
          <w:sz w:val="21"/>
          <w:szCs w:val="21"/>
        </w:rPr>
        <w:t>→</w:t>
      </w:r>
      <w:r w:rsidRPr="005B4D1E">
        <w:rPr>
          <w:rFonts w:ascii="宋体" w:eastAsia="宋体" w:hAnsi="宋体" w:hint="eastAsia"/>
          <w:sz w:val="21"/>
          <w:szCs w:val="21"/>
        </w:rPr>
        <w:t>F</w:t>
      </w:r>
      <w:r w:rsidRPr="005B4D1E">
        <w:rPr>
          <w:rFonts w:ascii="宋体" w:eastAsia="宋体" w:hAnsi="宋体" w:hint="eastAsia"/>
          <w:sz w:val="21"/>
          <w:szCs w:val="21"/>
          <w:vertAlign w:val="superscript"/>
        </w:rPr>
        <w:t>10</w:t>
      </w:r>
      <w:r w:rsidRPr="005B4D1E">
        <w:rPr>
          <w:rFonts w:ascii="宋体" w:eastAsia="宋体" w:hAnsi="宋体" w:hint="eastAsia"/>
          <w:sz w:val="21"/>
          <w:szCs w:val="21"/>
        </w:rPr>
        <w:t>(GP2)的突变（见表19）。以上结果显示，GX1001、GX1002和GX1003株均具有强毒株的序列特征。</w:t>
      </w:r>
    </w:p>
    <w:p w:rsidR="009D14A5" w:rsidRPr="005B4D1E" w:rsidRDefault="009D14A5" w:rsidP="00B03D18">
      <w:pPr>
        <w:pStyle w:val="a6"/>
        <w:spacing w:before="156"/>
      </w:pPr>
      <w:bookmarkStart w:id="62" w:name="_Toc405816426"/>
      <w:r w:rsidRPr="005B4D1E">
        <w:rPr>
          <w:rFonts w:hint="eastAsia"/>
        </w:rPr>
        <w:t>表</w:t>
      </w:r>
      <w:r w:rsidR="00B03D18">
        <w:rPr>
          <w:rFonts w:hint="eastAsia"/>
        </w:rPr>
        <w:t xml:space="preserve">19 </w:t>
      </w:r>
      <w:r w:rsidRPr="005B4D1E">
        <w:rPr>
          <w:rFonts w:hint="eastAsia"/>
        </w:rPr>
        <w:t>GX1001</w:t>
      </w:r>
      <w:r w:rsidRPr="005B4D1E">
        <w:rPr>
          <w:rFonts w:hint="eastAsia"/>
        </w:rPr>
        <w:t>、</w:t>
      </w:r>
      <w:r w:rsidRPr="005B4D1E">
        <w:rPr>
          <w:rFonts w:hint="eastAsia"/>
        </w:rPr>
        <w:t>GX1002</w:t>
      </w:r>
      <w:r w:rsidRPr="005B4D1E">
        <w:rPr>
          <w:rFonts w:hint="eastAsia"/>
        </w:rPr>
        <w:t>、</w:t>
      </w:r>
      <w:r w:rsidRPr="005B4D1E">
        <w:rPr>
          <w:rFonts w:hint="eastAsia"/>
        </w:rPr>
        <w:t>GX1003</w:t>
      </w:r>
      <w:r w:rsidRPr="005B4D1E">
        <w:rPr>
          <w:rFonts w:hint="eastAsia"/>
        </w:rPr>
        <w:t>株与</w:t>
      </w:r>
      <w:r w:rsidRPr="005B4D1E">
        <w:rPr>
          <w:rFonts w:hint="eastAsia"/>
        </w:rPr>
        <w:t>RespPRRS MLV</w:t>
      </w:r>
      <w:r w:rsidRPr="005B4D1E">
        <w:rPr>
          <w:rFonts w:hint="eastAsia"/>
        </w:rPr>
        <w:t>、</w:t>
      </w:r>
      <w:r w:rsidRPr="005B4D1E">
        <w:rPr>
          <w:rFonts w:hint="eastAsia"/>
        </w:rPr>
        <w:t>VR-2332</w:t>
      </w:r>
      <w:r w:rsidRPr="005B4D1E">
        <w:rPr>
          <w:rFonts w:hint="eastAsia"/>
        </w:rPr>
        <w:t>和</w:t>
      </w:r>
      <w:r w:rsidRPr="005B4D1E">
        <w:rPr>
          <w:rFonts w:hint="eastAsia"/>
        </w:rPr>
        <w:t>JXA1</w:t>
      </w:r>
      <w:r w:rsidRPr="005B4D1E">
        <w:rPr>
          <w:rFonts w:hint="eastAsia"/>
        </w:rPr>
        <w:t>株的氨基酸位点变异分析</w:t>
      </w:r>
      <w:bookmarkEnd w:id="62"/>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5270500" cy="4097655"/>
            <wp:effectExtent l="19050" t="0" r="6350" b="0"/>
            <wp:docPr id="5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60" cstate="print"/>
                    <a:srcRect/>
                    <a:stretch>
                      <a:fillRect/>
                    </a:stretch>
                  </pic:blipFill>
                  <pic:spPr bwMode="auto">
                    <a:xfrm>
                      <a:off x="0" y="0"/>
                      <a:ext cx="5270500" cy="4097655"/>
                    </a:xfrm>
                    <a:prstGeom prst="rect">
                      <a:avLst/>
                    </a:prstGeom>
                    <a:noFill/>
                    <a:ln w="9525">
                      <a:noFill/>
                      <a:miter lim="800000"/>
                      <a:headEnd/>
                      <a:tailEnd/>
                    </a:ln>
                  </pic:spPr>
                </pic:pic>
              </a:graphicData>
            </a:graphic>
          </wp:inline>
        </w:drawing>
      </w:r>
    </w:p>
    <w:p w:rsidR="009D14A5" w:rsidRPr="005B4D1E" w:rsidRDefault="009D14A5" w:rsidP="009D14A5">
      <w:pPr>
        <w:tabs>
          <w:tab w:val="left" w:pos="7597"/>
        </w:tabs>
        <w:wordWrap w:val="0"/>
        <w:spacing w:line="360" w:lineRule="auto"/>
        <w:rPr>
          <w:rFonts w:ascii="宋体" w:eastAsia="宋体" w:hAnsi="宋体"/>
          <w:sz w:val="21"/>
          <w:szCs w:val="21"/>
        </w:rPr>
      </w:pP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PRRSV分离株遗传进化分析：</w:t>
      </w:r>
      <w:r w:rsidRPr="005B4D1E">
        <w:rPr>
          <w:rFonts w:ascii="宋体" w:eastAsia="宋体" w:hAnsi="宋体" w:hint="eastAsia"/>
          <w:sz w:val="21"/>
          <w:szCs w:val="21"/>
        </w:rPr>
        <w:t>利用CLUSTAL X l.83及MEGA 5.0软件包的Neighbor-joining方法绘制系统进化树。基于病毒全基因组核苷酸序列绘制遗传进化树（见图31），可以将GX1001、GX1002和GX1003株以及国内外美洲型PRRSV参考毒株分为4个亚群：以VR-2332株为代表的1亚群、以CH-la株为代表的2亚群、以HB-1株为代表的3亚群、以JXA1株为代表的4亚群。GX1001、GX1002和GX1003株均属于以JXA1株为代表的4亚群。</w:t>
      </w:r>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lastRenderedPageBreak/>
        <w:drawing>
          <wp:inline distT="0" distB="0" distL="0" distR="0">
            <wp:extent cx="4399280" cy="6694170"/>
            <wp:effectExtent l="19050" t="0" r="1270" b="0"/>
            <wp:docPr id="52"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61" cstate="print"/>
                    <a:srcRect/>
                    <a:stretch>
                      <a:fillRect/>
                    </a:stretch>
                  </pic:blipFill>
                  <pic:spPr bwMode="auto">
                    <a:xfrm>
                      <a:off x="0" y="0"/>
                      <a:ext cx="4399280" cy="6694170"/>
                    </a:xfrm>
                    <a:prstGeom prst="rect">
                      <a:avLst/>
                    </a:prstGeom>
                    <a:noFill/>
                    <a:ln w="9525">
                      <a:noFill/>
                      <a:miter lim="800000"/>
                      <a:headEnd/>
                      <a:tailEnd/>
                    </a:ln>
                  </pic:spPr>
                </pic:pic>
              </a:graphicData>
            </a:graphic>
          </wp:inline>
        </w:drawing>
      </w:r>
    </w:p>
    <w:p w:rsidR="009D14A5" w:rsidRPr="005B4D1E" w:rsidRDefault="009D14A5" w:rsidP="00B03D18">
      <w:pPr>
        <w:pStyle w:val="a5"/>
        <w:spacing w:after="156"/>
      </w:pPr>
      <w:bookmarkStart w:id="63" w:name="_Toc405816335"/>
      <w:r w:rsidRPr="005B4D1E">
        <w:rPr>
          <w:rFonts w:hint="eastAsia"/>
        </w:rPr>
        <w:t>图</w:t>
      </w:r>
      <w:r w:rsidR="00B03D18">
        <w:rPr>
          <w:rFonts w:hint="eastAsia"/>
        </w:rPr>
        <w:t xml:space="preserve">31 </w:t>
      </w:r>
      <w:r w:rsidRPr="005B4D1E">
        <w:rPr>
          <w:rFonts w:hint="eastAsia"/>
        </w:rPr>
        <w:t>基于病毒全基因组核苷酸序列的遗传进化树</w:t>
      </w:r>
      <w:bookmarkEnd w:id="63"/>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小结：为了解广西PRRSV的变异情况及分子遗传特征，从临床发病死亡猪采集组织接种Marc-145细胞分离病毒，取产生典型CPE的病毒液经RT-PCR及IFA鉴定，证实分离到3个PRRSV病毒株，分别命名为GX1001、GX1002和GX1003株。采用RT-PCR分段扩增3个分离株的基因片段，经克隆、测序、拼接，获得3个分离株的全基因序列。结果，不包括Poly(A)尾，GX1001、GX1002和GX1003株基因组全长分别为15329nt、15318nt和15320nt。同源性分析表明，3个分离株间全基因组核苷酸及其推导氨基酸序列同源性分别为99.3%～99.4%</w:t>
      </w:r>
      <w:r w:rsidRPr="005B4D1E">
        <w:rPr>
          <w:rFonts w:ascii="宋体" w:eastAsia="宋体" w:hAnsi="宋体" w:hint="eastAsia"/>
          <w:sz w:val="21"/>
          <w:szCs w:val="21"/>
        </w:rPr>
        <w:lastRenderedPageBreak/>
        <w:t>和99.5%～99.7%，与国内外美洲型毒株间的同源性分别为84.9%～99.5%和74.9%～99.5%，与欧洲型毒株间的同源性分别为61.5%～61.9%和51.0%～51.5%。序列分析表明，3个分离株的NSP2编码区均存在第481aa和533～561aa30个氨基酸的不连续缺失，具有HP-PRRSV的遗传特征，但在不同区域出现新的突变、缺失及插入等变异现象。遗传进化分析表明，所有美洲型毒株可以分为4个亚群，GX1001，GX1002和GX1003株均属于以高致病性JXA1株为代表的第4亚群。表明，本研究获得的PRRSV广西地方分离株GX1001、GX1002和GX1003株均属于HP-PRRSV，但其基因组在不同区域发生了新的遗传变异现象。</w:t>
      </w:r>
    </w:p>
    <w:p w:rsidR="009D14A5" w:rsidRPr="005B4D1E" w:rsidRDefault="009D14A5" w:rsidP="00206742">
      <w:pPr>
        <w:pStyle w:val="2"/>
      </w:pPr>
      <w:bookmarkStart w:id="64" w:name="_Toc405816277"/>
      <w:r w:rsidRPr="005B4D1E">
        <w:rPr>
          <w:rFonts w:hint="eastAsia"/>
        </w:rPr>
        <w:t>免疫压力下</w:t>
      </w:r>
      <w:r w:rsidRPr="005B4D1E">
        <w:rPr>
          <w:rFonts w:hint="eastAsia"/>
        </w:rPr>
        <w:t>HP-PRRSV</w:t>
      </w:r>
      <w:r w:rsidRPr="005B4D1E">
        <w:rPr>
          <w:rFonts w:hint="eastAsia"/>
        </w:rPr>
        <w:t>田间流行毒株的遗传进化分析</w:t>
      </w:r>
      <w:r w:rsidR="00206742">
        <w:rPr>
          <w:rFonts w:hint="eastAsia"/>
        </w:rPr>
        <w:t>研究</w:t>
      </w:r>
      <w:bookmarkEnd w:id="64"/>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引物设计与合成：</w:t>
      </w:r>
      <w:r w:rsidRPr="005B4D1E">
        <w:rPr>
          <w:rFonts w:ascii="宋体" w:eastAsia="宋体" w:hAnsi="宋体" w:hint="eastAsia"/>
          <w:sz w:val="21"/>
          <w:szCs w:val="21"/>
        </w:rPr>
        <w:t>参考GenBank上发表的PRRSV全基因组序列，设计PRRSV美洲型和欧洲型毒株通用引物：PRRSV-CF：</w:t>
      </w:r>
      <w:smartTag w:uri="urn:schemas-microsoft-com:office:smarttags" w:element="chmetcnv">
        <w:smartTagPr>
          <w:attr w:name="TCSC" w:val="0"/>
          <w:attr w:name="NumberType" w:val="1"/>
          <w:attr w:name="Negative" w:val="False"/>
          <w:attr w:name="HasSpace" w:val="False"/>
          <w:attr w:name="SourceValue" w:val="5"/>
          <w:attr w:name="UnitName" w:val="’"/>
        </w:smartTagPr>
        <w:r w:rsidRPr="005B4D1E">
          <w:rPr>
            <w:rFonts w:ascii="宋体" w:eastAsia="宋体" w:hAnsi="宋体" w:hint="eastAsia"/>
            <w:sz w:val="21"/>
            <w:szCs w:val="21"/>
          </w:rPr>
          <w:t>5’</w:t>
        </w:r>
      </w:smartTag>
      <w:r w:rsidRPr="005B4D1E">
        <w:rPr>
          <w:rFonts w:ascii="宋体" w:eastAsia="宋体" w:hAnsi="宋体" w:hint="eastAsia"/>
          <w:sz w:val="21"/>
          <w:szCs w:val="21"/>
        </w:rPr>
        <w:t>-TGTCCCYGCYCCGCGCAGGAAGG</w:t>
      </w:r>
      <w:smartTag w:uri="urn:schemas-microsoft-com:office:smarttags" w:element="chmetcnv">
        <w:smartTagPr>
          <w:attr w:name="TCSC" w:val="0"/>
          <w:attr w:name="NumberType" w:val="1"/>
          <w:attr w:name="Negative" w:val="True"/>
          <w:attr w:name="HasSpace" w:val="False"/>
          <w:attr w:name="SourceValue" w:val="3"/>
          <w:attr w:name="UnitName" w:val="’"/>
        </w:smartTagPr>
        <w:r w:rsidRPr="005B4D1E">
          <w:rPr>
            <w:rFonts w:ascii="宋体" w:eastAsia="宋体" w:hAnsi="宋体" w:hint="eastAsia"/>
            <w:sz w:val="21"/>
            <w:szCs w:val="21"/>
          </w:rPr>
          <w:t>-3</w:t>
        </w:r>
        <w:r w:rsidRPr="005B4D1E">
          <w:rPr>
            <w:rFonts w:ascii="宋体" w:eastAsia="宋体" w:hAnsi="宋体"/>
            <w:sz w:val="21"/>
            <w:szCs w:val="21"/>
          </w:rPr>
          <w:t>’</w:t>
        </w:r>
      </w:smartTag>
      <w:r w:rsidRPr="005B4D1E">
        <w:rPr>
          <w:rFonts w:ascii="宋体" w:eastAsia="宋体" w:hAnsi="宋体" w:hint="eastAsia"/>
          <w:sz w:val="21"/>
          <w:szCs w:val="21"/>
        </w:rPr>
        <w:t>和PRRSV-CR：</w:t>
      </w:r>
      <w:smartTag w:uri="urn:schemas-microsoft-com:office:smarttags" w:element="chmetcnv">
        <w:smartTagPr>
          <w:attr w:name="TCSC" w:val="0"/>
          <w:attr w:name="NumberType" w:val="1"/>
          <w:attr w:name="Negative" w:val="False"/>
          <w:attr w:name="HasSpace" w:val="False"/>
          <w:attr w:name="SourceValue" w:val="5"/>
          <w:attr w:name="UnitName" w:val="’"/>
        </w:smartTagPr>
        <w:r w:rsidRPr="005B4D1E">
          <w:rPr>
            <w:rFonts w:ascii="宋体" w:eastAsia="宋体" w:hAnsi="宋体" w:hint="eastAsia"/>
            <w:sz w:val="21"/>
            <w:szCs w:val="21"/>
          </w:rPr>
          <w:t>5’</w:t>
        </w:r>
      </w:smartTag>
      <w:r w:rsidRPr="005B4D1E">
        <w:rPr>
          <w:rFonts w:ascii="宋体" w:eastAsia="宋体" w:hAnsi="宋体" w:hint="eastAsia"/>
          <w:sz w:val="21"/>
          <w:szCs w:val="21"/>
        </w:rPr>
        <w:t>-GACARGGAGCTGCTTGATGACAC</w:t>
      </w:r>
      <w:smartTag w:uri="urn:schemas-microsoft-com:office:smarttags" w:element="chmetcnv">
        <w:smartTagPr>
          <w:attr w:name="TCSC" w:val="0"/>
          <w:attr w:name="NumberType" w:val="1"/>
          <w:attr w:name="Negative" w:val="True"/>
          <w:attr w:name="HasSpace" w:val="False"/>
          <w:attr w:name="SourceValue" w:val="3"/>
          <w:attr w:name="UnitName" w:val="’"/>
        </w:smartTagPr>
        <w:r w:rsidRPr="005B4D1E">
          <w:rPr>
            <w:rFonts w:ascii="宋体" w:eastAsia="宋体" w:hAnsi="宋体" w:hint="eastAsia"/>
            <w:sz w:val="21"/>
            <w:szCs w:val="21"/>
          </w:rPr>
          <w:t>-3’</w:t>
        </w:r>
      </w:smartTag>
      <w:r w:rsidRPr="005B4D1E">
        <w:rPr>
          <w:rFonts w:ascii="宋体" w:eastAsia="宋体" w:hAnsi="宋体" w:hint="eastAsia"/>
          <w:sz w:val="21"/>
          <w:szCs w:val="21"/>
        </w:rPr>
        <w:t>，预期扩增ORF7基因433bp的目的片段；设计扩增引物：PRRSV-ORF567-F：</w:t>
      </w:r>
      <w:smartTag w:uri="urn:schemas-microsoft-com:office:smarttags" w:element="chmetcnv">
        <w:smartTagPr>
          <w:attr w:name="TCSC" w:val="0"/>
          <w:attr w:name="NumberType" w:val="1"/>
          <w:attr w:name="Negative" w:val="False"/>
          <w:attr w:name="HasSpace" w:val="False"/>
          <w:attr w:name="SourceValue" w:val="5"/>
          <w:attr w:name="UnitName" w:val="’"/>
        </w:smartTagPr>
        <w:r w:rsidRPr="005B4D1E">
          <w:rPr>
            <w:rFonts w:ascii="宋体" w:eastAsia="宋体" w:hAnsi="宋体" w:hint="eastAsia"/>
            <w:sz w:val="21"/>
            <w:szCs w:val="21"/>
          </w:rPr>
          <w:t>5’</w:t>
        </w:r>
      </w:smartTag>
      <w:r w:rsidRPr="005B4D1E">
        <w:rPr>
          <w:rFonts w:ascii="宋体" w:eastAsia="宋体" w:hAnsi="宋体" w:hint="eastAsia"/>
          <w:sz w:val="21"/>
          <w:szCs w:val="21"/>
        </w:rPr>
        <w:t>-TCATGACACCTGAGACCATGAG</w:t>
      </w:r>
      <w:smartTag w:uri="urn:schemas-microsoft-com:office:smarttags" w:element="chmetcnv">
        <w:smartTagPr>
          <w:attr w:name="TCSC" w:val="0"/>
          <w:attr w:name="NumberType" w:val="1"/>
          <w:attr w:name="Negative" w:val="True"/>
          <w:attr w:name="HasSpace" w:val="False"/>
          <w:attr w:name="SourceValue" w:val="3"/>
          <w:attr w:name="UnitName" w:val="’"/>
        </w:smartTagPr>
        <w:r w:rsidRPr="005B4D1E">
          <w:rPr>
            <w:rFonts w:ascii="宋体" w:eastAsia="宋体" w:hAnsi="宋体" w:hint="eastAsia"/>
            <w:sz w:val="21"/>
            <w:szCs w:val="21"/>
          </w:rPr>
          <w:t>-3</w:t>
        </w:r>
        <w:r w:rsidRPr="005B4D1E">
          <w:rPr>
            <w:rFonts w:ascii="宋体" w:eastAsia="宋体" w:hAnsi="宋体"/>
            <w:sz w:val="21"/>
            <w:szCs w:val="21"/>
          </w:rPr>
          <w:t>’</w:t>
        </w:r>
      </w:smartTag>
      <w:r w:rsidRPr="005B4D1E">
        <w:rPr>
          <w:rFonts w:ascii="宋体" w:eastAsia="宋体" w:hAnsi="宋体" w:hint="eastAsia"/>
          <w:sz w:val="21"/>
          <w:szCs w:val="21"/>
        </w:rPr>
        <w:t>和PRRSV-ORF567-R：</w:t>
      </w:r>
      <w:smartTag w:uri="urn:schemas-microsoft-com:office:smarttags" w:element="chmetcnv">
        <w:smartTagPr>
          <w:attr w:name="TCSC" w:val="0"/>
          <w:attr w:name="NumberType" w:val="1"/>
          <w:attr w:name="Negative" w:val="False"/>
          <w:attr w:name="HasSpace" w:val="False"/>
          <w:attr w:name="SourceValue" w:val="5"/>
          <w:attr w:name="UnitName" w:val="’"/>
        </w:smartTagPr>
        <w:r w:rsidRPr="005B4D1E">
          <w:rPr>
            <w:rFonts w:ascii="宋体" w:eastAsia="宋体" w:hAnsi="宋体" w:hint="eastAsia"/>
            <w:sz w:val="21"/>
            <w:szCs w:val="21"/>
          </w:rPr>
          <w:t>5’</w:t>
        </w:r>
      </w:smartTag>
      <w:r w:rsidRPr="005B4D1E">
        <w:rPr>
          <w:rFonts w:ascii="宋体" w:eastAsia="宋体" w:hAnsi="宋体" w:hint="eastAsia"/>
          <w:sz w:val="21"/>
          <w:szCs w:val="21"/>
        </w:rPr>
        <w:t>-CAATCAGTGCCATTCACCACA</w:t>
      </w:r>
      <w:smartTag w:uri="urn:schemas-microsoft-com:office:smarttags" w:element="chmetcnv">
        <w:smartTagPr>
          <w:attr w:name="TCSC" w:val="0"/>
          <w:attr w:name="NumberType" w:val="1"/>
          <w:attr w:name="Negative" w:val="True"/>
          <w:attr w:name="HasSpace" w:val="False"/>
          <w:attr w:name="SourceValue" w:val="3"/>
          <w:attr w:name="UnitName" w:val="’"/>
        </w:smartTagPr>
        <w:r w:rsidRPr="005B4D1E">
          <w:rPr>
            <w:rFonts w:ascii="宋体" w:eastAsia="宋体" w:hAnsi="宋体" w:hint="eastAsia"/>
            <w:sz w:val="21"/>
            <w:szCs w:val="21"/>
          </w:rPr>
          <w:t>-3’</w:t>
        </w:r>
      </w:smartTag>
      <w:r w:rsidRPr="005B4D1E">
        <w:rPr>
          <w:rFonts w:ascii="宋体" w:eastAsia="宋体" w:hAnsi="宋体" w:hint="eastAsia"/>
          <w:sz w:val="21"/>
          <w:szCs w:val="21"/>
        </w:rPr>
        <w:t>，预期扩增覆盖完整ORF5～ORF7基因的1627bp的目的片段。设计美洲型毒株扩增引物：PRRSV-N1-F:</w:t>
      </w:r>
      <w:smartTag w:uri="urn:schemas-microsoft-com:office:smarttags" w:element="chmetcnv">
        <w:smartTagPr>
          <w:attr w:name="TCSC" w:val="0"/>
          <w:attr w:name="NumberType" w:val="1"/>
          <w:attr w:name="Negative" w:val="False"/>
          <w:attr w:name="HasSpace" w:val="False"/>
          <w:attr w:name="SourceValue" w:val="5"/>
          <w:attr w:name="UnitName" w:val="’"/>
        </w:smartTagPr>
        <w:r w:rsidRPr="005B4D1E">
          <w:rPr>
            <w:rFonts w:ascii="宋体" w:eastAsia="宋体" w:hAnsi="宋体" w:hint="eastAsia"/>
            <w:sz w:val="21"/>
            <w:szCs w:val="21"/>
          </w:rPr>
          <w:t>5</w:t>
        </w:r>
        <w:r w:rsidRPr="005B4D1E">
          <w:rPr>
            <w:rFonts w:ascii="宋体" w:eastAsia="宋体" w:hAnsi="宋体"/>
            <w:sz w:val="21"/>
            <w:szCs w:val="21"/>
          </w:rPr>
          <w:t>’</w:t>
        </w:r>
      </w:smartTag>
      <w:r w:rsidRPr="005B4D1E">
        <w:rPr>
          <w:rFonts w:ascii="宋体" w:eastAsia="宋体" w:hAnsi="宋体" w:hint="eastAsia"/>
          <w:sz w:val="21"/>
          <w:szCs w:val="21"/>
        </w:rPr>
        <w:t>-GCGGAGGCTGCAAGTTAATG</w:t>
      </w:r>
      <w:smartTag w:uri="urn:schemas-microsoft-com:office:smarttags" w:element="chmetcnv">
        <w:smartTagPr>
          <w:attr w:name="TCSC" w:val="0"/>
          <w:attr w:name="NumberType" w:val="1"/>
          <w:attr w:name="Negative" w:val="True"/>
          <w:attr w:name="HasSpace" w:val="False"/>
          <w:attr w:name="SourceValue" w:val="3"/>
          <w:attr w:name="UnitName" w:val="’"/>
        </w:smartTagPr>
        <w:r w:rsidRPr="005B4D1E">
          <w:rPr>
            <w:rFonts w:ascii="宋体" w:eastAsia="宋体" w:hAnsi="宋体" w:hint="eastAsia"/>
            <w:sz w:val="21"/>
            <w:szCs w:val="21"/>
          </w:rPr>
          <w:t>-3</w:t>
        </w:r>
        <w:r w:rsidRPr="005B4D1E">
          <w:rPr>
            <w:rFonts w:ascii="宋体" w:eastAsia="宋体" w:hAnsi="宋体"/>
            <w:sz w:val="21"/>
            <w:szCs w:val="21"/>
          </w:rPr>
          <w:t>’</w:t>
        </w:r>
      </w:smartTag>
      <w:r w:rsidRPr="005B4D1E">
        <w:rPr>
          <w:rFonts w:ascii="宋体" w:eastAsia="宋体" w:hAnsi="宋体" w:hint="eastAsia"/>
          <w:sz w:val="21"/>
          <w:szCs w:val="21"/>
        </w:rPr>
        <w:t>和PRRSV-N1-R：</w:t>
      </w:r>
      <w:smartTag w:uri="urn:schemas-microsoft-com:office:smarttags" w:element="chmetcnv">
        <w:smartTagPr>
          <w:attr w:name="TCSC" w:val="0"/>
          <w:attr w:name="NumberType" w:val="1"/>
          <w:attr w:name="Negative" w:val="False"/>
          <w:attr w:name="HasSpace" w:val="False"/>
          <w:attr w:name="SourceValue" w:val="5"/>
          <w:attr w:name="UnitName" w:val="’"/>
        </w:smartTagPr>
        <w:r w:rsidRPr="005B4D1E">
          <w:rPr>
            <w:rFonts w:ascii="宋体" w:eastAsia="宋体" w:hAnsi="宋体" w:hint="eastAsia"/>
            <w:sz w:val="21"/>
            <w:szCs w:val="21"/>
          </w:rPr>
          <w:t>5’</w:t>
        </w:r>
      </w:smartTag>
      <w:r w:rsidRPr="005B4D1E">
        <w:rPr>
          <w:rFonts w:ascii="宋体" w:eastAsia="宋体" w:hAnsi="宋体" w:hint="eastAsia"/>
          <w:sz w:val="21"/>
          <w:szCs w:val="21"/>
        </w:rPr>
        <w:t>-CTTCCGAACCGTTAGGGACAT</w:t>
      </w:r>
      <w:smartTag w:uri="urn:schemas-microsoft-com:office:smarttags" w:element="chmetcnv">
        <w:smartTagPr>
          <w:attr w:name="TCSC" w:val="0"/>
          <w:attr w:name="NumberType" w:val="1"/>
          <w:attr w:name="Negative" w:val="True"/>
          <w:attr w:name="HasSpace" w:val="False"/>
          <w:attr w:name="SourceValue" w:val="3"/>
          <w:attr w:name="UnitName" w:val="’"/>
        </w:smartTagPr>
        <w:r w:rsidRPr="005B4D1E">
          <w:rPr>
            <w:rFonts w:ascii="宋体" w:eastAsia="宋体" w:hAnsi="宋体" w:hint="eastAsia"/>
            <w:sz w:val="21"/>
            <w:szCs w:val="21"/>
          </w:rPr>
          <w:t>-3</w:t>
        </w:r>
        <w:r w:rsidRPr="005B4D1E">
          <w:rPr>
            <w:rFonts w:ascii="宋体" w:eastAsia="宋体" w:hAnsi="宋体"/>
            <w:sz w:val="21"/>
            <w:szCs w:val="21"/>
          </w:rPr>
          <w:t>’</w:t>
        </w:r>
      </w:smartTag>
      <w:r w:rsidRPr="005B4D1E">
        <w:rPr>
          <w:rFonts w:ascii="宋体" w:eastAsia="宋体" w:hAnsi="宋体" w:hint="eastAsia"/>
          <w:sz w:val="21"/>
          <w:szCs w:val="21"/>
        </w:rPr>
        <w:t>，预期扩增覆盖美洲型传统毒株及变异毒株部分Nsp2基因的1667bp的目的片段(Nsp2-1)；PRRSV-N2-F：</w:t>
      </w:r>
      <w:smartTag w:uri="urn:schemas-microsoft-com:office:smarttags" w:element="chmetcnv">
        <w:smartTagPr>
          <w:attr w:name="TCSC" w:val="0"/>
          <w:attr w:name="NumberType" w:val="1"/>
          <w:attr w:name="Negative" w:val="False"/>
          <w:attr w:name="HasSpace" w:val="False"/>
          <w:attr w:name="SourceValue" w:val="5"/>
          <w:attr w:name="UnitName" w:val="’"/>
        </w:smartTagPr>
        <w:r w:rsidRPr="005B4D1E">
          <w:rPr>
            <w:rFonts w:ascii="宋体" w:eastAsia="宋体" w:hAnsi="宋体" w:hint="eastAsia"/>
            <w:sz w:val="21"/>
            <w:szCs w:val="21"/>
          </w:rPr>
          <w:t>5’</w:t>
        </w:r>
      </w:smartTag>
      <w:r w:rsidRPr="005B4D1E">
        <w:rPr>
          <w:rFonts w:ascii="宋体" w:eastAsia="宋体" w:hAnsi="宋体" w:hint="eastAsia"/>
          <w:sz w:val="21"/>
          <w:szCs w:val="21"/>
        </w:rPr>
        <w:t>-TTGCCAGAGAGCAAGCCTGTC_</w:t>
      </w:r>
      <w:smartTag w:uri="urn:schemas-microsoft-com:office:smarttags" w:element="chmetcnv">
        <w:smartTagPr>
          <w:attr w:name="TCSC" w:val="0"/>
          <w:attr w:name="NumberType" w:val="1"/>
          <w:attr w:name="Negative" w:val="False"/>
          <w:attr w:name="HasSpace" w:val="False"/>
          <w:attr w:name="SourceValue" w:val="3"/>
          <w:attr w:name="UnitName" w:val="’"/>
        </w:smartTagPr>
        <w:r w:rsidRPr="005B4D1E">
          <w:rPr>
            <w:rFonts w:ascii="宋体" w:eastAsia="宋体" w:hAnsi="宋体" w:hint="eastAsia"/>
            <w:sz w:val="21"/>
            <w:szCs w:val="21"/>
          </w:rPr>
          <w:t>3’</w:t>
        </w:r>
      </w:smartTag>
      <w:r w:rsidRPr="005B4D1E">
        <w:rPr>
          <w:rFonts w:ascii="宋体" w:eastAsia="宋体" w:hAnsi="宋体" w:hint="eastAsia"/>
          <w:sz w:val="21"/>
          <w:szCs w:val="21"/>
        </w:rPr>
        <w:t xml:space="preserve">    和    PRRSV-N2-R:</w:t>
      </w:r>
      <w:smartTag w:uri="urn:schemas-microsoft-com:office:smarttags" w:element="chmetcnv">
        <w:smartTagPr>
          <w:attr w:name="TCSC" w:val="0"/>
          <w:attr w:name="NumberType" w:val="1"/>
          <w:attr w:name="Negative" w:val="False"/>
          <w:attr w:name="HasSpace" w:val="False"/>
          <w:attr w:name="SourceValue" w:val="5"/>
          <w:attr w:name="UnitName" w:val="’"/>
        </w:smartTagPr>
        <w:r w:rsidRPr="005B4D1E">
          <w:rPr>
            <w:rFonts w:ascii="宋体" w:eastAsia="宋体" w:hAnsi="宋体" w:hint="eastAsia"/>
            <w:sz w:val="21"/>
            <w:szCs w:val="21"/>
          </w:rPr>
          <w:t>5’</w:t>
        </w:r>
      </w:smartTag>
      <w:r w:rsidRPr="005B4D1E">
        <w:rPr>
          <w:rFonts w:ascii="宋体" w:eastAsia="宋体" w:hAnsi="宋体" w:hint="eastAsia"/>
          <w:sz w:val="21"/>
          <w:szCs w:val="21"/>
        </w:rPr>
        <w:t>-GCAACAATGCCAAGCCTAAG</w:t>
      </w:r>
      <w:smartTag w:uri="urn:schemas-microsoft-com:office:smarttags" w:element="chmetcnv">
        <w:smartTagPr>
          <w:attr w:name="TCSC" w:val="0"/>
          <w:attr w:name="NumberType" w:val="1"/>
          <w:attr w:name="Negative" w:val="True"/>
          <w:attr w:name="HasSpace" w:val="False"/>
          <w:attr w:name="SourceValue" w:val="3"/>
          <w:attr w:name="UnitName" w:val="’"/>
        </w:smartTagPr>
        <w:r w:rsidRPr="005B4D1E">
          <w:rPr>
            <w:rFonts w:ascii="宋体" w:eastAsia="宋体" w:hAnsi="宋体" w:hint="eastAsia"/>
            <w:sz w:val="21"/>
            <w:szCs w:val="21"/>
          </w:rPr>
          <w:t>-3’</w:t>
        </w:r>
      </w:smartTag>
      <w:r w:rsidRPr="005B4D1E">
        <w:rPr>
          <w:rFonts w:ascii="宋体" w:eastAsia="宋体" w:hAnsi="宋体" w:hint="eastAsia"/>
          <w:sz w:val="21"/>
          <w:szCs w:val="21"/>
        </w:rPr>
        <w:t>，预期扩增覆盖部分Nsp2基因的目的片段(Nsp2-2)在美洲型传统毒株为1649bp、在美洲型变异毒株为1559bp。</w:t>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猪场的选定和样品的采集：</w:t>
      </w:r>
      <w:r w:rsidRPr="005B4D1E">
        <w:rPr>
          <w:rFonts w:ascii="宋体" w:eastAsia="宋体" w:hAnsi="宋体" w:hint="eastAsia"/>
          <w:sz w:val="21"/>
          <w:szCs w:val="21"/>
        </w:rPr>
        <w:t>在广西不同的县市选定四个规模猪场，分别是GXLAXS猪场、GXBSSZ猪场、GXLSFW猪场和GXLSNM猪场，其中GXLAXS猪场和GXLSFW猪场猪群未免疫PRRSV疫苗，而GXBSSZ猪场和GXLSNM猪场免疫PRRSV疫苗。在2011-2012年间按季度采集病死猪的脾、肺、淋巴结等组织样品，每个季度随机采集不同日龄猪只的血清及公猪精液。</w:t>
      </w:r>
    </w:p>
    <w:p w:rsidR="009D14A5" w:rsidRPr="005B4D1E" w:rsidRDefault="009D14A5" w:rsidP="005B4D1E">
      <w:pPr>
        <w:tabs>
          <w:tab w:val="left" w:pos="7597"/>
        </w:tabs>
        <w:wordWrap w:val="0"/>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PRRSV抗体检测：</w:t>
      </w:r>
      <w:r w:rsidRPr="005B4D1E">
        <w:rPr>
          <w:rFonts w:ascii="宋体" w:eastAsia="宋体" w:hAnsi="宋体" w:hint="eastAsia"/>
          <w:sz w:val="21"/>
          <w:szCs w:val="21"/>
        </w:rPr>
        <w:t>使用美国IDEXX公司试剂盒(HerdChek PRRS 3xr，IDEXX Inc.)，应用ELISA方法对采集的血清样品进行PRRSV抗体检测，具体操作按照试剂盒说明书进行。结果，在4个猪场每个季度的血清中均能检测到PRRSV抗体阳性样品，2011-2012年间的阳性率介于45.7%～96.7%之间（图</w:t>
      </w:r>
      <w:smartTag w:uri="urn:schemas-microsoft-com:office:smarttags" w:element="chmetcnv">
        <w:smartTagPr>
          <w:attr w:name="TCSC" w:val="0"/>
          <w:attr w:name="NumberType" w:val="1"/>
          <w:attr w:name="Negative" w:val="False"/>
          <w:attr w:name="HasSpace" w:val="False"/>
          <w:attr w:name="SourceValue" w:val="32"/>
          <w:attr w:name="UnitName" w:val="a"/>
        </w:smartTagPr>
        <w:r w:rsidRPr="005B4D1E">
          <w:rPr>
            <w:rFonts w:ascii="宋体" w:eastAsia="宋体" w:hAnsi="宋体" w:hint="eastAsia"/>
            <w:sz w:val="21"/>
            <w:szCs w:val="21"/>
          </w:rPr>
          <w:t>32A</w:t>
        </w:r>
      </w:smartTag>
      <w:r w:rsidRPr="005B4D1E">
        <w:rPr>
          <w:rFonts w:ascii="宋体" w:eastAsia="宋体" w:hAnsi="宋体" w:hint="eastAsia"/>
          <w:sz w:val="21"/>
          <w:szCs w:val="21"/>
        </w:rPr>
        <w:t>），S/P值均值介于0.469～2.258之间（图32B）。</w:t>
      </w:r>
    </w:p>
    <w:p w:rsidR="009D14A5" w:rsidRPr="005B4D1E" w:rsidRDefault="009D14A5" w:rsidP="005B4D1E">
      <w:pPr>
        <w:tabs>
          <w:tab w:val="left" w:pos="7597"/>
        </w:tabs>
        <w:wordWrap w:val="0"/>
        <w:spacing w:line="360" w:lineRule="auto"/>
        <w:ind w:firstLineChars="200" w:firstLine="420"/>
        <w:jc w:val="center"/>
        <w:rPr>
          <w:rFonts w:ascii="宋体" w:eastAsia="宋体" w:hAnsi="宋体"/>
          <w:sz w:val="21"/>
          <w:szCs w:val="21"/>
        </w:rPr>
      </w:pPr>
      <w:r w:rsidRPr="005B4D1E">
        <w:rPr>
          <w:rFonts w:ascii="宋体" w:eastAsia="宋体" w:hAnsi="宋体"/>
          <w:noProof/>
          <w:sz w:val="21"/>
          <w:szCs w:val="21"/>
        </w:rPr>
        <w:lastRenderedPageBreak/>
        <w:drawing>
          <wp:inline distT="0" distB="0" distL="0" distR="0">
            <wp:extent cx="3398520" cy="3838575"/>
            <wp:effectExtent l="19050" t="0" r="0" b="0"/>
            <wp:docPr id="5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62" cstate="print"/>
                    <a:srcRect/>
                    <a:stretch>
                      <a:fillRect/>
                    </a:stretch>
                  </pic:blipFill>
                  <pic:spPr bwMode="auto">
                    <a:xfrm>
                      <a:off x="0" y="0"/>
                      <a:ext cx="3398520" cy="3838575"/>
                    </a:xfrm>
                    <a:prstGeom prst="rect">
                      <a:avLst/>
                    </a:prstGeom>
                    <a:noFill/>
                    <a:ln w="9525">
                      <a:noFill/>
                      <a:miter lim="800000"/>
                      <a:headEnd/>
                      <a:tailEnd/>
                    </a:ln>
                  </pic:spPr>
                </pic:pic>
              </a:graphicData>
            </a:graphic>
          </wp:inline>
        </w:drawing>
      </w:r>
    </w:p>
    <w:p w:rsidR="009D14A5" w:rsidRPr="005B4D1E" w:rsidRDefault="009D14A5" w:rsidP="00B03D18">
      <w:pPr>
        <w:pStyle w:val="a5"/>
        <w:spacing w:after="156"/>
      </w:pPr>
      <w:bookmarkStart w:id="65" w:name="_Toc405816336"/>
      <w:r w:rsidRPr="005B4D1E">
        <w:rPr>
          <w:rFonts w:hint="eastAsia"/>
        </w:rPr>
        <w:t>图</w:t>
      </w:r>
      <w:r w:rsidR="00B03D18">
        <w:rPr>
          <w:rFonts w:hint="eastAsia"/>
        </w:rPr>
        <w:t xml:space="preserve">32 </w:t>
      </w:r>
      <w:r w:rsidRPr="005B4D1E">
        <w:rPr>
          <w:rFonts w:hint="eastAsia"/>
        </w:rPr>
        <w:t>四个猪场</w:t>
      </w:r>
      <w:r w:rsidRPr="005B4D1E">
        <w:rPr>
          <w:rFonts w:hint="eastAsia"/>
        </w:rPr>
        <w:t>PRRSV</w:t>
      </w:r>
      <w:r w:rsidRPr="005B4D1E">
        <w:rPr>
          <w:rFonts w:hint="eastAsia"/>
        </w:rPr>
        <w:t>抗体监测结果</w:t>
      </w:r>
      <w:r w:rsidRPr="005B4D1E">
        <w:rPr>
          <w:rFonts w:hint="eastAsia"/>
        </w:rPr>
        <w:t>(A</w:t>
      </w:r>
      <w:r w:rsidRPr="005B4D1E">
        <w:rPr>
          <w:rFonts w:hint="eastAsia"/>
        </w:rPr>
        <w:t>：阳性率；</w:t>
      </w:r>
      <w:r w:rsidRPr="005B4D1E">
        <w:rPr>
          <w:rFonts w:hint="eastAsia"/>
        </w:rPr>
        <w:t>B</w:t>
      </w:r>
      <w:r w:rsidRPr="005B4D1E">
        <w:rPr>
          <w:rFonts w:hint="eastAsia"/>
        </w:rPr>
        <w:t>：</w:t>
      </w:r>
      <w:r w:rsidRPr="005B4D1E">
        <w:rPr>
          <w:rFonts w:hint="eastAsia"/>
        </w:rPr>
        <w:t>S/P</w:t>
      </w:r>
      <w:r w:rsidRPr="005B4D1E">
        <w:rPr>
          <w:rFonts w:hint="eastAsia"/>
        </w:rPr>
        <w:t>值的均值</w:t>
      </w:r>
      <w:r w:rsidRPr="005B4D1E">
        <w:rPr>
          <w:rFonts w:hint="eastAsia"/>
        </w:rPr>
        <w:t>)</w:t>
      </w:r>
      <w:bookmarkEnd w:id="65"/>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ORF567及Nsp2基因目的片段的克隆及测序</w:t>
      </w:r>
      <w:r w:rsidRPr="005B4D1E">
        <w:rPr>
          <w:rFonts w:ascii="宋体" w:eastAsia="宋体" w:hAnsi="宋体" w:hint="eastAsia"/>
          <w:sz w:val="21"/>
          <w:szCs w:val="21"/>
        </w:rPr>
        <w:t>：取脾、肺、淋巴结各</w:t>
      </w:r>
      <w:smartTag w:uri="urn:schemas-microsoft-com:office:smarttags" w:element="chmetcnv">
        <w:smartTagPr>
          <w:attr w:name="TCSC" w:val="0"/>
          <w:attr w:name="NumberType" w:val="1"/>
          <w:attr w:name="Negative" w:val="False"/>
          <w:attr w:name="HasSpace" w:val="False"/>
          <w:attr w:name="SourceValue" w:val="5"/>
          <w:attr w:name="UnitName" w:val="g"/>
        </w:smartTagPr>
        <w:r w:rsidRPr="005B4D1E">
          <w:rPr>
            <w:rFonts w:ascii="宋体" w:eastAsia="宋体" w:hAnsi="宋体" w:hint="eastAsia"/>
            <w:sz w:val="21"/>
            <w:szCs w:val="21"/>
          </w:rPr>
          <w:t>5g</w:t>
        </w:r>
      </w:smartTag>
      <w:r w:rsidRPr="005B4D1E">
        <w:rPr>
          <w:rFonts w:ascii="宋体" w:eastAsia="宋体" w:hAnsi="宋体" w:hint="eastAsia"/>
          <w:sz w:val="21"/>
          <w:szCs w:val="21"/>
        </w:rPr>
        <w:t>，研磨后按1:4(W/V)加入PBS(pH7.2)，反复冻融3次，</w:t>
      </w:r>
      <w:smartTag w:uri="urn:schemas-microsoft-com:office:smarttags" w:element="chmetcnv">
        <w:smartTagPr>
          <w:attr w:name="TCSC" w:val="0"/>
          <w:attr w:name="NumberType" w:val="1"/>
          <w:attr w:name="Negative" w:val="False"/>
          <w:attr w:name="HasSpace" w:val="False"/>
          <w:attr w:name="SourceValue" w:val="4"/>
          <w:attr w:name="UnitName" w:val="℃"/>
        </w:smartTagPr>
        <w:r w:rsidRPr="005B4D1E">
          <w:rPr>
            <w:rFonts w:ascii="宋体" w:eastAsia="宋体" w:hAnsi="宋体" w:hint="eastAsia"/>
            <w:sz w:val="21"/>
            <w:szCs w:val="21"/>
          </w:rPr>
          <w:t>4℃</w:t>
        </w:r>
      </w:smartTag>
      <w:r w:rsidRPr="005B4D1E">
        <w:rPr>
          <w:rFonts w:ascii="宋体" w:eastAsia="宋体" w:hAnsi="宋体" w:hint="eastAsia"/>
          <w:sz w:val="21"/>
          <w:szCs w:val="21"/>
        </w:rPr>
        <w:t>、12000r/min离心15min，取上清提取总RNA；直接取血清或精液提取总RNA。按RNA提取试剂盒操作说明书抽提总RNA，应用PCR试剂盒，利用Random 9 mers和AMV反转录酶，进行反转录获得cDNA模板。建立25</w:t>
      </w:r>
      <w:r w:rsidRPr="005B4D1E">
        <w:rPr>
          <w:rFonts w:ascii="宋体" w:eastAsia="宋体" w:hAnsi="宋体"/>
          <w:sz w:val="21"/>
          <w:szCs w:val="21"/>
        </w:rPr>
        <w:t>µ</w:t>
      </w:r>
      <w:r w:rsidRPr="005B4D1E">
        <w:rPr>
          <w:rFonts w:ascii="宋体" w:eastAsia="宋体" w:hAnsi="宋体" w:hint="eastAsia"/>
          <w:sz w:val="21"/>
          <w:szCs w:val="21"/>
        </w:rPr>
        <w:t>L PCR反应体系：5</w:t>
      </w:r>
      <w:r w:rsidRPr="005B4D1E">
        <w:rPr>
          <w:rFonts w:ascii="宋体" w:eastAsia="宋体" w:hAnsi="宋体" w:cs="Arial"/>
          <w:sz w:val="21"/>
          <w:szCs w:val="21"/>
        </w:rPr>
        <w:t>×</w:t>
      </w:r>
      <w:r w:rsidRPr="005B4D1E">
        <w:rPr>
          <w:rFonts w:ascii="宋体" w:eastAsia="宋体" w:hAnsi="宋体" w:hint="eastAsia"/>
          <w:sz w:val="21"/>
          <w:szCs w:val="21"/>
        </w:rPr>
        <w:t>PCR Buffer 5</w:t>
      </w:r>
      <w:r w:rsidRPr="005B4D1E">
        <w:rPr>
          <w:rFonts w:ascii="宋体" w:eastAsia="宋体" w:hAnsi="宋体"/>
          <w:sz w:val="21"/>
          <w:szCs w:val="21"/>
        </w:rPr>
        <w:t>µ</w:t>
      </w:r>
      <w:r w:rsidRPr="005B4D1E">
        <w:rPr>
          <w:rFonts w:ascii="宋体" w:eastAsia="宋体" w:hAnsi="宋体" w:hint="eastAsia"/>
          <w:sz w:val="21"/>
          <w:szCs w:val="21"/>
        </w:rPr>
        <w:t>L、上下游通用检测引物（CF和CR）（25pmol/</w:t>
      </w:r>
      <w:r w:rsidRPr="005B4D1E">
        <w:rPr>
          <w:rFonts w:ascii="宋体" w:eastAsia="宋体" w:hAnsi="宋体"/>
          <w:sz w:val="21"/>
          <w:szCs w:val="21"/>
        </w:rPr>
        <w:t>µ</w:t>
      </w:r>
      <w:r w:rsidRPr="005B4D1E">
        <w:rPr>
          <w:rFonts w:ascii="宋体" w:eastAsia="宋体" w:hAnsi="宋体" w:hint="eastAsia"/>
          <w:sz w:val="21"/>
          <w:szCs w:val="21"/>
        </w:rPr>
        <w:t>L）各0.5</w:t>
      </w:r>
      <w:r w:rsidRPr="005B4D1E">
        <w:rPr>
          <w:rFonts w:ascii="宋体" w:eastAsia="宋体" w:hAnsi="宋体"/>
          <w:sz w:val="21"/>
          <w:szCs w:val="21"/>
        </w:rPr>
        <w:t>µ</w:t>
      </w:r>
      <w:r w:rsidRPr="005B4D1E">
        <w:rPr>
          <w:rFonts w:ascii="宋体" w:eastAsia="宋体" w:hAnsi="宋体" w:hint="eastAsia"/>
          <w:sz w:val="21"/>
          <w:szCs w:val="21"/>
        </w:rPr>
        <w:t>L、灭菌蒸馏水13.85</w:t>
      </w:r>
      <w:r w:rsidRPr="005B4D1E">
        <w:rPr>
          <w:rFonts w:ascii="宋体" w:eastAsia="宋体" w:hAnsi="宋体"/>
          <w:sz w:val="21"/>
          <w:szCs w:val="21"/>
        </w:rPr>
        <w:t>µ</w:t>
      </w:r>
      <w:r w:rsidRPr="005B4D1E">
        <w:rPr>
          <w:rFonts w:ascii="宋体" w:eastAsia="宋体" w:hAnsi="宋体" w:hint="eastAsia"/>
          <w:sz w:val="21"/>
          <w:szCs w:val="21"/>
        </w:rPr>
        <w:t>L、Ex Taq聚合酶（5U/</w:t>
      </w:r>
      <w:r w:rsidRPr="005B4D1E">
        <w:rPr>
          <w:rFonts w:ascii="宋体" w:eastAsia="宋体" w:hAnsi="宋体"/>
          <w:sz w:val="21"/>
          <w:szCs w:val="21"/>
        </w:rPr>
        <w:t>µ</w:t>
      </w:r>
      <w:r w:rsidRPr="005B4D1E">
        <w:rPr>
          <w:rFonts w:ascii="宋体" w:eastAsia="宋体" w:hAnsi="宋体" w:hint="eastAsia"/>
          <w:sz w:val="21"/>
          <w:szCs w:val="21"/>
        </w:rPr>
        <w:t>L）0.15</w:t>
      </w:r>
      <w:r w:rsidRPr="005B4D1E">
        <w:rPr>
          <w:rFonts w:ascii="宋体" w:eastAsia="宋体" w:hAnsi="宋体"/>
          <w:sz w:val="21"/>
          <w:szCs w:val="21"/>
        </w:rPr>
        <w:t>µ</w:t>
      </w:r>
      <w:r w:rsidRPr="005B4D1E">
        <w:rPr>
          <w:rFonts w:ascii="宋体" w:eastAsia="宋体" w:hAnsi="宋体" w:hint="eastAsia"/>
          <w:sz w:val="21"/>
          <w:szCs w:val="21"/>
        </w:rPr>
        <w:t>L、cDNA模板5</w:t>
      </w:r>
      <w:r w:rsidRPr="005B4D1E">
        <w:rPr>
          <w:rFonts w:ascii="宋体" w:eastAsia="宋体" w:hAnsi="宋体"/>
          <w:sz w:val="21"/>
          <w:szCs w:val="21"/>
        </w:rPr>
        <w:t>µ</w:t>
      </w:r>
      <w:r w:rsidRPr="005B4D1E">
        <w:rPr>
          <w:rFonts w:ascii="宋体" w:eastAsia="宋体" w:hAnsi="宋体" w:hint="eastAsia"/>
          <w:sz w:val="21"/>
          <w:szCs w:val="21"/>
        </w:rPr>
        <w:t>L。反应程序为：</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r w:rsidRPr="005B4D1E">
          <w:rPr>
            <w:rFonts w:ascii="宋体" w:eastAsia="宋体" w:hAnsi="宋体" w:cs="Arial"/>
            <w:sz w:val="21"/>
            <w:szCs w:val="21"/>
          </w:rPr>
          <w:t>℃</w:t>
        </w:r>
      </w:smartTag>
      <w:r w:rsidRPr="005B4D1E">
        <w:rPr>
          <w:rFonts w:ascii="宋体" w:eastAsia="宋体" w:hAnsi="宋体" w:hint="eastAsia"/>
          <w:sz w:val="21"/>
          <w:szCs w:val="21"/>
        </w:rPr>
        <w:t>3min；</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smartTag>
      <w:r w:rsidRPr="005B4D1E">
        <w:rPr>
          <w:rFonts w:ascii="宋体" w:eastAsia="宋体" w:hAnsi="宋体" w:hint="eastAsia"/>
          <w:sz w:val="21"/>
          <w:szCs w:val="21"/>
        </w:rPr>
        <w:t>30s，</w:t>
      </w:r>
      <w:smartTag w:uri="urn:schemas-microsoft-com:office:smarttags" w:element="chmetcnv">
        <w:smartTagPr>
          <w:attr w:name="TCSC" w:val="0"/>
          <w:attr w:name="NumberType" w:val="1"/>
          <w:attr w:name="Negative" w:val="False"/>
          <w:attr w:name="HasSpace" w:val="False"/>
          <w:attr w:name="SourceValue" w:val="57"/>
          <w:attr w:name="UnitName" w:val="℃"/>
        </w:smartTagPr>
        <w:r w:rsidRPr="005B4D1E">
          <w:rPr>
            <w:rFonts w:ascii="宋体" w:eastAsia="宋体" w:hAnsi="宋体" w:hint="eastAsia"/>
            <w:sz w:val="21"/>
            <w:szCs w:val="21"/>
          </w:rPr>
          <w:t>57℃</w:t>
        </w:r>
      </w:smartTag>
      <w:r w:rsidRPr="005B4D1E">
        <w:rPr>
          <w:rFonts w:ascii="宋体" w:eastAsia="宋体" w:hAnsi="宋体" w:hint="eastAsia"/>
          <w:sz w:val="21"/>
          <w:szCs w:val="21"/>
        </w:rPr>
        <w:t>30s，</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30s，35个循环；最后</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10min。反应结束后，应用1.5%的琼脂糖凝胶进行电泳分析结果。</w:t>
      </w:r>
    </w:p>
    <w:p w:rsidR="009D14A5" w:rsidRPr="005B4D1E" w:rsidRDefault="009D14A5" w:rsidP="005B4D1E">
      <w:pPr>
        <w:tabs>
          <w:tab w:val="left" w:pos="7597"/>
        </w:tabs>
        <w:wordWrap w:val="0"/>
        <w:spacing w:line="360" w:lineRule="auto"/>
        <w:ind w:firstLineChars="200" w:firstLine="420"/>
        <w:rPr>
          <w:rFonts w:ascii="宋体" w:eastAsia="宋体" w:hAnsi="宋体"/>
          <w:sz w:val="21"/>
          <w:szCs w:val="21"/>
        </w:rPr>
      </w:pPr>
      <w:r w:rsidRPr="005B4D1E">
        <w:rPr>
          <w:rFonts w:ascii="宋体" w:eastAsia="宋体" w:hAnsi="宋体" w:hint="eastAsia"/>
          <w:sz w:val="21"/>
          <w:szCs w:val="21"/>
        </w:rPr>
        <w:t>经采用通用检测引物进行RT-PCR检测为阳性的样品，以其cDNA为模板，分别应用PRRSV-ORF567-F/PRRSV-ORF567-R以及PRRSV-N1-F/PRRSV-N1-R、PRRSV-N2-F/PRRSV-N2-R引物对扩增ORF567以及Nsp2基因。建立50</w:t>
      </w:r>
      <w:r w:rsidRPr="005B4D1E">
        <w:rPr>
          <w:rFonts w:ascii="宋体" w:eastAsia="宋体" w:hAnsi="宋体"/>
          <w:sz w:val="21"/>
          <w:szCs w:val="21"/>
        </w:rPr>
        <w:t>µ</w:t>
      </w:r>
      <w:r w:rsidRPr="005B4D1E">
        <w:rPr>
          <w:rFonts w:ascii="宋体" w:eastAsia="宋体" w:hAnsi="宋体" w:hint="eastAsia"/>
          <w:sz w:val="21"/>
          <w:szCs w:val="21"/>
        </w:rPr>
        <w:t>L PCR反应体系：5×PCR Buffer（含dNTP Mixture、Mg</w:t>
      </w:r>
      <w:r w:rsidRPr="005B4D1E">
        <w:rPr>
          <w:rFonts w:ascii="宋体" w:eastAsia="宋体" w:hAnsi="宋体" w:hint="eastAsia"/>
          <w:sz w:val="21"/>
          <w:szCs w:val="21"/>
          <w:vertAlign w:val="superscript"/>
        </w:rPr>
        <w:t>2+</w:t>
      </w:r>
      <w:r w:rsidRPr="005B4D1E">
        <w:rPr>
          <w:rFonts w:ascii="宋体" w:eastAsia="宋体" w:hAnsi="宋体" w:hint="eastAsia"/>
          <w:sz w:val="21"/>
          <w:szCs w:val="21"/>
        </w:rPr>
        <w:t>）10</w:t>
      </w:r>
      <w:r w:rsidRPr="005B4D1E">
        <w:rPr>
          <w:rFonts w:ascii="宋体" w:eastAsia="宋体" w:hAnsi="宋体"/>
          <w:sz w:val="21"/>
          <w:szCs w:val="21"/>
        </w:rPr>
        <w:t>µ</w:t>
      </w:r>
      <w:r w:rsidRPr="005B4D1E">
        <w:rPr>
          <w:rFonts w:ascii="宋体" w:eastAsia="宋体" w:hAnsi="宋体" w:hint="eastAsia"/>
          <w:sz w:val="21"/>
          <w:szCs w:val="21"/>
        </w:rPr>
        <w:t>L，Ex Taq HS聚合酶(5U/</w:t>
      </w:r>
      <w:r w:rsidRPr="005B4D1E">
        <w:rPr>
          <w:rFonts w:ascii="宋体" w:eastAsia="宋体" w:hAnsi="宋体"/>
          <w:sz w:val="21"/>
          <w:szCs w:val="21"/>
        </w:rPr>
        <w:t>µ</w:t>
      </w:r>
      <w:r w:rsidRPr="005B4D1E">
        <w:rPr>
          <w:rFonts w:ascii="宋体" w:eastAsia="宋体" w:hAnsi="宋体" w:hint="eastAsia"/>
          <w:sz w:val="21"/>
          <w:szCs w:val="21"/>
        </w:rPr>
        <w:t>L)0.25</w:t>
      </w:r>
      <w:r w:rsidRPr="005B4D1E">
        <w:rPr>
          <w:rFonts w:ascii="宋体" w:eastAsia="宋体" w:hAnsi="宋体"/>
          <w:sz w:val="21"/>
          <w:szCs w:val="21"/>
        </w:rPr>
        <w:t>µ</w:t>
      </w:r>
      <w:r w:rsidRPr="005B4D1E">
        <w:rPr>
          <w:rFonts w:ascii="宋体" w:eastAsia="宋体" w:hAnsi="宋体" w:hint="eastAsia"/>
          <w:sz w:val="21"/>
          <w:szCs w:val="21"/>
        </w:rPr>
        <w:t>L，cDNA5</w:t>
      </w:r>
      <w:r w:rsidRPr="005B4D1E">
        <w:rPr>
          <w:rFonts w:ascii="宋体" w:eastAsia="宋体" w:hAnsi="宋体"/>
          <w:sz w:val="21"/>
          <w:szCs w:val="21"/>
        </w:rPr>
        <w:t>µ</w:t>
      </w:r>
      <w:r w:rsidRPr="005B4D1E">
        <w:rPr>
          <w:rFonts w:ascii="宋体" w:eastAsia="宋体" w:hAnsi="宋体" w:hint="eastAsia"/>
          <w:sz w:val="21"/>
          <w:szCs w:val="21"/>
        </w:rPr>
        <w:t>L，上下游引物（25pmol/</w:t>
      </w:r>
      <w:r w:rsidRPr="005B4D1E">
        <w:rPr>
          <w:rFonts w:ascii="宋体" w:eastAsia="宋体" w:hAnsi="宋体"/>
          <w:sz w:val="21"/>
          <w:szCs w:val="21"/>
        </w:rPr>
        <w:t>µ</w:t>
      </w:r>
      <w:r w:rsidRPr="005B4D1E">
        <w:rPr>
          <w:rFonts w:ascii="宋体" w:eastAsia="宋体" w:hAnsi="宋体" w:hint="eastAsia"/>
          <w:sz w:val="21"/>
          <w:szCs w:val="21"/>
        </w:rPr>
        <w:t>L）各0.5</w:t>
      </w:r>
      <w:r w:rsidRPr="005B4D1E">
        <w:rPr>
          <w:rFonts w:ascii="宋体" w:eastAsia="宋体" w:hAnsi="宋体"/>
          <w:sz w:val="21"/>
          <w:szCs w:val="21"/>
        </w:rPr>
        <w:t>µ</w:t>
      </w:r>
      <w:r w:rsidRPr="005B4D1E">
        <w:rPr>
          <w:rFonts w:ascii="宋体" w:eastAsia="宋体" w:hAnsi="宋体" w:hint="eastAsia"/>
          <w:sz w:val="21"/>
          <w:szCs w:val="21"/>
        </w:rPr>
        <w:t>L，加双蒸水至50</w:t>
      </w:r>
      <w:r w:rsidRPr="005B4D1E">
        <w:rPr>
          <w:rFonts w:ascii="宋体" w:eastAsia="宋体" w:hAnsi="宋体"/>
          <w:sz w:val="21"/>
          <w:szCs w:val="21"/>
        </w:rPr>
        <w:t>µ</w:t>
      </w:r>
      <w:r w:rsidRPr="005B4D1E">
        <w:rPr>
          <w:rFonts w:ascii="宋体" w:eastAsia="宋体" w:hAnsi="宋体" w:hint="eastAsia"/>
          <w:sz w:val="21"/>
          <w:szCs w:val="21"/>
        </w:rPr>
        <w:t>L。PCR反应程序：</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smartTag>
      <w:r w:rsidRPr="005B4D1E">
        <w:rPr>
          <w:rFonts w:ascii="宋体" w:eastAsia="宋体" w:hAnsi="宋体" w:hint="eastAsia"/>
          <w:sz w:val="21"/>
          <w:szCs w:val="21"/>
        </w:rPr>
        <w:t>3 min；</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smartTag>
      <w:r w:rsidRPr="005B4D1E">
        <w:rPr>
          <w:rFonts w:ascii="宋体" w:eastAsia="宋体" w:hAnsi="宋体" w:hint="eastAsia"/>
          <w:sz w:val="21"/>
          <w:szCs w:val="21"/>
        </w:rPr>
        <w:t>30s，</w:t>
      </w:r>
      <w:smartTag w:uri="urn:schemas-microsoft-com:office:smarttags" w:element="chmetcnv">
        <w:smartTagPr>
          <w:attr w:name="TCSC" w:val="0"/>
          <w:attr w:name="NumberType" w:val="1"/>
          <w:attr w:name="Negative" w:val="False"/>
          <w:attr w:name="HasSpace" w:val="False"/>
          <w:attr w:name="SourceValue" w:val="56"/>
          <w:attr w:name="UnitName" w:val="℃"/>
        </w:smartTagPr>
        <w:r w:rsidRPr="005B4D1E">
          <w:rPr>
            <w:rFonts w:ascii="宋体" w:eastAsia="宋体" w:hAnsi="宋体" w:hint="eastAsia"/>
            <w:sz w:val="21"/>
            <w:szCs w:val="21"/>
          </w:rPr>
          <w:t>56℃</w:t>
        </w:r>
      </w:smartTag>
      <w:r w:rsidRPr="005B4D1E">
        <w:rPr>
          <w:rFonts w:ascii="宋体" w:eastAsia="宋体" w:hAnsi="宋体" w:hint="eastAsia"/>
          <w:sz w:val="21"/>
          <w:szCs w:val="21"/>
        </w:rPr>
        <w:t>30s，</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120s，35个循环；</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10min。反应结束后进行凝胶电泳，利用胶回收试剂盒回收、纯化PCR产物，连接到pMD18-T载体，转化DH5</w:t>
      </w:r>
      <w:r w:rsidRPr="005B4D1E">
        <w:rPr>
          <w:rFonts w:ascii="宋体" w:eastAsia="宋体" w:hAnsi="宋体" w:cs="Arial"/>
          <w:sz w:val="21"/>
          <w:szCs w:val="21"/>
        </w:rPr>
        <w:t>α</w:t>
      </w:r>
      <w:r w:rsidRPr="005B4D1E">
        <w:rPr>
          <w:rFonts w:ascii="宋体" w:eastAsia="宋体" w:hAnsi="宋体" w:hint="eastAsia"/>
          <w:sz w:val="21"/>
          <w:szCs w:val="21"/>
        </w:rPr>
        <w:t>感受态细胞，阳性克隆经PCR、酶切鉴定后，送上海生工生物有限公司测序。每个扩增片段均送3个克隆进行重复测序。最终获得ORF5、ORF7基因序列。</w:t>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lastRenderedPageBreak/>
        <w:t xml:space="preserve">    结果，2011-2012年，总共获得91个Nsp2基因序列，已经上传NCBI GenBank，其中GXBSSZ猪场25个（GenBank NO.KC618218-KC618242）、GXLSFW猪场20个(GenBank NO.KC618243-KC618262)、GXLAXS猪场24个(GenBank NO.KC618285-KC618308)、GXLSNM猪场22个(GenBank NO.KC618263-KC618284)。总共获得98个ORF5基因序列，已经上传NCBI GenBank，其中GXBSSZ猪场26个(GenBank NO.KC617949-KC617974)、GXLSFW猪场21个(GenBank NO.KC618108-KC618127)、GXLAXS猪场27个（GenBank NO.KC618027-KC618053）、GXLSNM猪场24个(GenBank NO.KC618170-KC618193)。总共获得98个ORF6基因序列，已经上传NCBI GenBank，其中GXBSSZ猪场26个(GenBank NO.KC617975-KC618000)、GXLSFW猪场21个(GenBank NO.KC618128-KC6181148)、GXLAXS猪场27个(GenBank NO.KC618054-KC618080)、GXLSNM猪场24个(GenBank NO.KC618194-KC618217)。总共获得98个ORF7基因序列，已经上传NCBI GenBank，其中GXBSSZ猪场26个(GenBank NO.</w:t>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KC618001-KC618026)、GXLSFW猪场21个(GenBank NO.KC618149-KC618169)、GXLAXS猪场27个(GenBank NO.KC618081-KC618107)、GXLSNM猪场24个(GenBankNO.KC617925-KC617948).</w:t>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序列分析：</w:t>
      </w:r>
      <w:r w:rsidRPr="005B4D1E">
        <w:rPr>
          <w:rFonts w:ascii="宋体" w:eastAsia="宋体" w:hAnsi="宋体" w:hint="eastAsia"/>
          <w:sz w:val="21"/>
          <w:szCs w:val="21"/>
        </w:rPr>
        <w:t>获得的Nsp2、ORF5、ORF6和ORF7序列，运用Clustal X v1.83软件比对，然后用MEGA5.0进行分析和画出系统发育进化树(Neighbor-joining(NJ)tree)。</w:t>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评估核苷酸的替代率，根据季度标记获得序列，运用Beast </w:t>
      </w:r>
      <w:smartTag w:uri="urn:schemas-microsoft-com:office:smarttags" w:element="chsdate">
        <w:smartTagPr>
          <w:attr w:name="IsROCDate" w:val="False"/>
          <w:attr w:name="IsLunarDate" w:val="False"/>
          <w:attr w:name="Day" w:val="30"/>
          <w:attr w:name="Month" w:val="12"/>
          <w:attr w:name="Year" w:val="1899"/>
        </w:smartTagPr>
        <w:r w:rsidRPr="005B4D1E">
          <w:rPr>
            <w:rFonts w:ascii="宋体" w:eastAsia="宋体" w:hAnsi="宋体" w:hint="eastAsia"/>
            <w:sz w:val="21"/>
            <w:szCs w:val="21"/>
          </w:rPr>
          <w:t>1.7.4 p</w:t>
        </w:r>
      </w:smartTag>
      <w:r w:rsidRPr="005B4D1E">
        <w:rPr>
          <w:rFonts w:ascii="宋体" w:eastAsia="宋体" w:hAnsi="宋体" w:hint="eastAsia"/>
          <w:sz w:val="21"/>
          <w:szCs w:val="21"/>
        </w:rPr>
        <w:t>ackage进行贝叶斯数据分析；基于Akaike信息准则(AIC)最优置换模型，Nsp2、ORF5、ORF6和ORF7被选为HKY-Gamma和TN93模型，时钟模型被选中作为严格的分子钟，运用Tracer l.5进行tMRCA和平均核苷酸替代率的计算，时间树也是通过TreeAnnotator l.7.4和FigTree l.7.4生成。</w:t>
      </w:r>
    </w:p>
    <w:p w:rsidR="009D14A5" w:rsidRPr="005B4D1E" w:rsidRDefault="009D14A5" w:rsidP="005B4D1E">
      <w:pPr>
        <w:tabs>
          <w:tab w:val="left" w:pos="7597"/>
        </w:tabs>
        <w:wordWrap w:val="0"/>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Nsp2基因序列的同源性分析：</w:t>
      </w:r>
      <w:r w:rsidRPr="005B4D1E">
        <w:rPr>
          <w:rFonts w:ascii="宋体" w:eastAsia="宋体" w:hAnsi="宋体" w:hint="eastAsia"/>
          <w:sz w:val="21"/>
          <w:szCs w:val="21"/>
        </w:rPr>
        <w:t>本研究所得的91个Nsp2基因序列间的核苷酸及其推导氨基酸序列的同源性分析结果见表20。91个Nsp2基因序列间核苷酸序列及其推导氨基酸序列的同源性分别是90.1%-100%和91.6%-100%；它们与美洲型代表株VR-2332、中国传统毒株Ch-la、HP-PRRSV代表株JXA1 Nsp2基因间核苷酸序列及其推导氨基酸序列的同源性分别为80.5%-83.7%和80.4%-83.5%、89.1%-92.5%和88.6%-92.6%、92.8%-99.6%和93.0%-99.6%，而与欧洲型代表株LV Nsp2基因间核苷酸序列及其推导氨基酸序列的同源性分别为52.3%-53.9%和48.6%-52.1%。</w:t>
      </w:r>
    </w:p>
    <w:p w:rsidR="009D14A5" w:rsidRDefault="009D14A5" w:rsidP="005B4D1E">
      <w:pPr>
        <w:tabs>
          <w:tab w:val="left" w:pos="7597"/>
        </w:tabs>
        <w:wordWrap w:val="0"/>
        <w:spacing w:line="360" w:lineRule="auto"/>
        <w:ind w:firstLineChars="200" w:firstLine="420"/>
        <w:rPr>
          <w:rFonts w:ascii="宋体" w:eastAsia="宋体" w:hAnsi="宋体"/>
          <w:sz w:val="21"/>
          <w:szCs w:val="21"/>
        </w:rPr>
      </w:pPr>
    </w:p>
    <w:p w:rsidR="00B03D18" w:rsidRDefault="00B03D18" w:rsidP="005B4D1E">
      <w:pPr>
        <w:tabs>
          <w:tab w:val="left" w:pos="7597"/>
        </w:tabs>
        <w:wordWrap w:val="0"/>
        <w:spacing w:line="360" w:lineRule="auto"/>
        <w:ind w:firstLineChars="200" w:firstLine="420"/>
        <w:rPr>
          <w:rFonts w:ascii="宋体" w:eastAsia="宋体" w:hAnsi="宋体"/>
          <w:sz w:val="21"/>
          <w:szCs w:val="21"/>
        </w:rPr>
      </w:pPr>
    </w:p>
    <w:p w:rsidR="00B03D18" w:rsidRDefault="00B03D18" w:rsidP="005B4D1E">
      <w:pPr>
        <w:tabs>
          <w:tab w:val="left" w:pos="7597"/>
        </w:tabs>
        <w:wordWrap w:val="0"/>
        <w:spacing w:line="360" w:lineRule="auto"/>
        <w:ind w:firstLineChars="200" w:firstLine="420"/>
        <w:rPr>
          <w:rFonts w:ascii="宋体" w:eastAsia="宋体" w:hAnsi="宋体"/>
          <w:sz w:val="21"/>
          <w:szCs w:val="21"/>
        </w:rPr>
      </w:pPr>
    </w:p>
    <w:p w:rsidR="00B03D18" w:rsidRPr="005B4D1E" w:rsidRDefault="00B03D18" w:rsidP="005B4D1E">
      <w:pPr>
        <w:tabs>
          <w:tab w:val="left" w:pos="7597"/>
        </w:tabs>
        <w:wordWrap w:val="0"/>
        <w:spacing w:line="360" w:lineRule="auto"/>
        <w:ind w:firstLineChars="200" w:firstLine="420"/>
        <w:rPr>
          <w:rFonts w:ascii="宋体" w:eastAsia="宋体" w:hAnsi="宋体"/>
          <w:sz w:val="21"/>
          <w:szCs w:val="21"/>
        </w:rPr>
      </w:pPr>
    </w:p>
    <w:p w:rsidR="009D14A5" w:rsidRPr="005B4D1E" w:rsidRDefault="009D14A5" w:rsidP="00B03D18">
      <w:pPr>
        <w:pStyle w:val="a6"/>
        <w:spacing w:before="156"/>
      </w:pPr>
      <w:bookmarkStart w:id="66" w:name="_Toc405816427"/>
      <w:r w:rsidRPr="005B4D1E">
        <w:rPr>
          <w:rFonts w:hint="eastAsia"/>
        </w:rPr>
        <w:lastRenderedPageBreak/>
        <w:t>表</w:t>
      </w:r>
      <w:r w:rsidRPr="005B4D1E">
        <w:rPr>
          <w:rFonts w:hint="eastAsia"/>
        </w:rPr>
        <w:t>20</w:t>
      </w:r>
      <w:r w:rsidR="00B03D18">
        <w:rPr>
          <w:rFonts w:hint="eastAsia"/>
        </w:rPr>
        <w:t xml:space="preserve"> </w:t>
      </w:r>
      <w:r w:rsidRPr="005B4D1E">
        <w:rPr>
          <w:rFonts w:hint="eastAsia"/>
        </w:rPr>
        <w:t>研究所得的</w:t>
      </w:r>
      <w:r w:rsidRPr="005B4D1E">
        <w:rPr>
          <w:rFonts w:hint="eastAsia"/>
        </w:rPr>
        <w:t>91</w:t>
      </w:r>
      <w:r w:rsidRPr="005B4D1E">
        <w:rPr>
          <w:rFonts w:hint="eastAsia"/>
        </w:rPr>
        <w:t>个</w:t>
      </w:r>
      <w:r w:rsidRPr="005B4D1E">
        <w:rPr>
          <w:rFonts w:hint="eastAsia"/>
        </w:rPr>
        <w:t>Nsp2</w:t>
      </w:r>
      <w:r w:rsidRPr="005B4D1E">
        <w:rPr>
          <w:rFonts w:hint="eastAsia"/>
        </w:rPr>
        <w:t>基因序列同源性分析</w:t>
      </w:r>
      <w:bookmarkEnd w:id="66"/>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5270500" cy="1492250"/>
            <wp:effectExtent l="19050" t="0" r="635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63" cstate="print"/>
                    <a:srcRect/>
                    <a:stretch>
                      <a:fillRect/>
                    </a:stretch>
                  </pic:blipFill>
                  <pic:spPr bwMode="auto">
                    <a:xfrm>
                      <a:off x="0" y="0"/>
                      <a:ext cx="5270500" cy="1492250"/>
                    </a:xfrm>
                    <a:prstGeom prst="rect">
                      <a:avLst/>
                    </a:prstGeom>
                    <a:noFill/>
                    <a:ln w="9525">
                      <a:noFill/>
                      <a:miter lim="800000"/>
                      <a:headEnd/>
                      <a:tailEnd/>
                    </a:ln>
                  </pic:spPr>
                </pic:pic>
              </a:graphicData>
            </a:graphic>
          </wp:inline>
        </w:drawing>
      </w:r>
    </w:p>
    <w:p w:rsidR="009D14A5" w:rsidRPr="005B4D1E" w:rsidRDefault="009D14A5" w:rsidP="009D14A5">
      <w:pPr>
        <w:tabs>
          <w:tab w:val="left" w:pos="7597"/>
        </w:tabs>
        <w:wordWrap w:val="0"/>
        <w:spacing w:line="360" w:lineRule="auto"/>
        <w:rPr>
          <w:rFonts w:ascii="宋体" w:eastAsia="宋体" w:hAnsi="宋体"/>
          <w:sz w:val="21"/>
          <w:szCs w:val="21"/>
        </w:rPr>
      </w:pP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ORF5基因序列的同源性分析：</w:t>
      </w:r>
      <w:r w:rsidRPr="005B4D1E">
        <w:rPr>
          <w:rFonts w:ascii="宋体" w:eastAsia="宋体" w:hAnsi="宋体" w:hint="eastAsia"/>
          <w:sz w:val="21"/>
          <w:szCs w:val="21"/>
        </w:rPr>
        <w:t>本研究所得到的98个ORF5基因序列均为603bp，编码200个氨基酸。98个ORF5基因序列间核苷酸及其推导氨基酸序列的同源性分析结果见表21。98个序列间的核苷酸及其推导氨基酸序列的同源性分别是83.3%-100%和81.1%-100%；它们与美洲型代表株VR-2332、中国传统毒株Ch-la，HP-PRRSV代表株JXA1 ORF5基因间核苷酸序列及其推导氨基酸序列的同源性分别为80.1%-93.5%和80.3%-94.5%、90.9%-97.8%和90.2%-97.5%、94.0%-100%和93.7%-100%，与欧洲型代表株LV ORF5基因间核苷酸序列及其推导氨基酸序列的同源性分别为56.1%-60.3%和57.2%-67.6%。</w:t>
      </w:r>
    </w:p>
    <w:p w:rsidR="009D14A5" w:rsidRPr="005B4D1E" w:rsidRDefault="009D14A5" w:rsidP="00B03D18">
      <w:pPr>
        <w:pStyle w:val="a6"/>
        <w:spacing w:before="156"/>
      </w:pPr>
      <w:bookmarkStart w:id="67" w:name="_Toc405816428"/>
      <w:r w:rsidRPr="005B4D1E">
        <w:rPr>
          <w:rFonts w:hint="eastAsia"/>
        </w:rPr>
        <w:t>表</w:t>
      </w:r>
      <w:r w:rsidRPr="005B4D1E">
        <w:rPr>
          <w:rFonts w:hint="eastAsia"/>
        </w:rPr>
        <w:t>21</w:t>
      </w:r>
      <w:r w:rsidR="00B03D18">
        <w:rPr>
          <w:rFonts w:hint="eastAsia"/>
        </w:rPr>
        <w:t xml:space="preserve"> </w:t>
      </w:r>
      <w:r w:rsidRPr="005B4D1E">
        <w:rPr>
          <w:rFonts w:hint="eastAsia"/>
        </w:rPr>
        <w:t>研究所得的</w:t>
      </w:r>
      <w:r w:rsidRPr="005B4D1E">
        <w:rPr>
          <w:rFonts w:hint="eastAsia"/>
        </w:rPr>
        <w:t>98</w:t>
      </w:r>
      <w:r w:rsidRPr="005B4D1E">
        <w:rPr>
          <w:rFonts w:hint="eastAsia"/>
        </w:rPr>
        <w:t>个</w:t>
      </w:r>
      <w:r w:rsidRPr="005B4D1E">
        <w:rPr>
          <w:rFonts w:hint="eastAsia"/>
        </w:rPr>
        <w:t>ORF5</w:t>
      </w:r>
      <w:r w:rsidRPr="005B4D1E">
        <w:rPr>
          <w:rFonts w:hint="eastAsia"/>
        </w:rPr>
        <w:t>基因序列同源性分析</w:t>
      </w:r>
      <w:bookmarkEnd w:id="67"/>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5270500" cy="1475105"/>
            <wp:effectExtent l="19050" t="0" r="635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64" cstate="print"/>
                    <a:srcRect/>
                    <a:stretch>
                      <a:fillRect/>
                    </a:stretch>
                  </pic:blipFill>
                  <pic:spPr bwMode="auto">
                    <a:xfrm>
                      <a:off x="0" y="0"/>
                      <a:ext cx="5270500" cy="1475105"/>
                    </a:xfrm>
                    <a:prstGeom prst="rect">
                      <a:avLst/>
                    </a:prstGeom>
                    <a:noFill/>
                    <a:ln w="9525">
                      <a:noFill/>
                      <a:miter lim="800000"/>
                      <a:headEnd/>
                      <a:tailEnd/>
                    </a:ln>
                  </pic:spPr>
                </pic:pic>
              </a:graphicData>
            </a:graphic>
          </wp:inline>
        </w:drawing>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ORF6基因序列的同源性分析：</w:t>
      </w:r>
      <w:r w:rsidRPr="005B4D1E">
        <w:rPr>
          <w:rFonts w:ascii="宋体" w:eastAsia="宋体" w:hAnsi="宋体" w:hint="eastAsia"/>
          <w:sz w:val="21"/>
          <w:szCs w:val="21"/>
        </w:rPr>
        <w:t>本研究所得到的98个ORF6基因序列均为525bp，编码174个氨基酸。98个ORF6基因序列间核苷酸及其推导氨基酸序列的同源性分析结果见表22。98个序列间的核苷酸及其氨基酸序列的同源性分别是96.6%-100%和96.0%-100%：它们与美洲型代表株VR-2332、中国传统毒株Ch-la、HP-PRRSV代表株JXA1 ORF6基因间核苷酸序列及其推导氨基酸序列的同源性分别为94.5%-96.0%和93.6%-97.1%、96.0%-97.7%和94.6%-97.1%、98.1%-100%和97.1%-99.4%，与欧洲型代表株LV ORF6基因间核苷酸序列及其推导氨基酸序列的同源性分别为68.4%-69.5%和77.0%-79.3%。</w:t>
      </w:r>
    </w:p>
    <w:p w:rsidR="00B03D18" w:rsidRDefault="00B03D18" w:rsidP="009D14A5">
      <w:pPr>
        <w:tabs>
          <w:tab w:val="left" w:pos="7597"/>
        </w:tabs>
        <w:wordWrap w:val="0"/>
        <w:spacing w:line="360" w:lineRule="auto"/>
        <w:rPr>
          <w:rFonts w:ascii="宋体" w:eastAsia="宋体" w:hAnsi="宋体"/>
          <w:b/>
          <w:bCs/>
          <w:sz w:val="21"/>
          <w:szCs w:val="21"/>
        </w:rPr>
      </w:pPr>
    </w:p>
    <w:p w:rsidR="00B03D18" w:rsidRDefault="00B03D18" w:rsidP="009D14A5">
      <w:pPr>
        <w:tabs>
          <w:tab w:val="left" w:pos="7597"/>
        </w:tabs>
        <w:wordWrap w:val="0"/>
        <w:spacing w:line="360" w:lineRule="auto"/>
        <w:rPr>
          <w:rFonts w:ascii="宋体" w:eastAsia="宋体" w:hAnsi="宋体"/>
          <w:b/>
          <w:bCs/>
          <w:sz w:val="21"/>
          <w:szCs w:val="21"/>
        </w:rPr>
      </w:pPr>
    </w:p>
    <w:p w:rsidR="009D14A5" w:rsidRPr="005B4D1E" w:rsidRDefault="009D14A5" w:rsidP="00B03D18">
      <w:pPr>
        <w:pStyle w:val="a6"/>
        <w:spacing w:before="156"/>
      </w:pPr>
      <w:bookmarkStart w:id="68" w:name="_Toc405816429"/>
      <w:r w:rsidRPr="005B4D1E">
        <w:rPr>
          <w:rFonts w:hint="eastAsia"/>
        </w:rPr>
        <w:lastRenderedPageBreak/>
        <w:t>表</w:t>
      </w:r>
      <w:r w:rsidRPr="005B4D1E">
        <w:rPr>
          <w:rFonts w:hint="eastAsia"/>
        </w:rPr>
        <w:t>22</w:t>
      </w:r>
      <w:r w:rsidR="00B03D18">
        <w:rPr>
          <w:rFonts w:hint="eastAsia"/>
        </w:rPr>
        <w:t xml:space="preserve"> </w:t>
      </w:r>
      <w:r w:rsidRPr="005B4D1E">
        <w:rPr>
          <w:rFonts w:hint="eastAsia"/>
        </w:rPr>
        <w:t>本研究所得的</w:t>
      </w:r>
      <w:r w:rsidRPr="005B4D1E">
        <w:rPr>
          <w:rFonts w:hint="eastAsia"/>
        </w:rPr>
        <w:t>98</w:t>
      </w:r>
      <w:r w:rsidRPr="005B4D1E">
        <w:rPr>
          <w:rFonts w:hint="eastAsia"/>
        </w:rPr>
        <w:t>个</w:t>
      </w:r>
      <w:r w:rsidRPr="005B4D1E">
        <w:rPr>
          <w:rFonts w:hint="eastAsia"/>
        </w:rPr>
        <w:t>ORF6</w:t>
      </w:r>
      <w:r w:rsidRPr="005B4D1E">
        <w:rPr>
          <w:rFonts w:hint="eastAsia"/>
        </w:rPr>
        <w:t>基因序列同源性分析</w:t>
      </w:r>
      <w:bookmarkEnd w:id="68"/>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noProof/>
          <w:sz w:val="21"/>
          <w:szCs w:val="21"/>
        </w:rPr>
        <w:drawing>
          <wp:inline distT="0" distB="0" distL="0" distR="0">
            <wp:extent cx="5270500" cy="1578610"/>
            <wp:effectExtent l="19050" t="0" r="6350" b="0"/>
            <wp:docPr id="5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65" cstate="print"/>
                    <a:srcRect/>
                    <a:stretch>
                      <a:fillRect/>
                    </a:stretch>
                  </pic:blipFill>
                  <pic:spPr bwMode="auto">
                    <a:xfrm>
                      <a:off x="0" y="0"/>
                      <a:ext cx="5270500" cy="1578610"/>
                    </a:xfrm>
                    <a:prstGeom prst="rect">
                      <a:avLst/>
                    </a:prstGeom>
                    <a:noFill/>
                    <a:ln w="9525">
                      <a:noFill/>
                      <a:miter lim="800000"/>
                      <a:headEnd/>
                      <a:tailEnd/>
                    </a:ln>
                  </pic:spPr>
                </pic:pic>
              </a:graphicData>
            </a:graphic>
          </wp:inline>
        </w:drawing>
      </w:r>
    </w:p>
    <w:p w:rsidR="009D14A5" w:rsidRPr="005B4D1E" w:rsidRDefault="009D14A5" w:rsidP="009D14A5">
      <w:pPr>
        <w:tabs>
          <w:tab w:val="left" w:pos="7597"/>
        </w:tabs>
        <w:wordWrap w:val="0"/>
        <w:spacing w:line="360" w:lineRule="auto"/>
        <w:rPr>
          <w:rFonts w:ascii="宋体" w:eastAsia="宋体" w:hAnsi="宋体"/>
          <w:sz w:val="21"/>
          <w:szCs w:val="21"/>
        </w:rPr>
      </w:pP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ORF7基因序列的同源性分析：</w:t>
      </w:r>
      <w:r w:rsidRPr="005B4D1E">
        <w:rPr>
          <w:rFonts w:ascii="宋体" w:eastAsia="宋体" w:hAnsi="宋体" w:hint="eastAsia"/>
          <w:sz w:val="21"/>
          <w:szCs w:val="21"/>
        </w:rPr>
        <w:t>本研究所获得的98个PRRSV毒株ORF7基因序列均为372bp，编码123个氨基酸。98个ORF7基因序列间核苷酸及其推导氨基酸序列的同源性分析结果见表23。98个序列间的核苷酸及其推导氨基酸序列的同源性分别是86.0%-100%和87.9%-100%；它们与美洲型代表株VR-2332、中国传统毒株Ch-la、HP-PRRSV代表株JXA1 ORF7基因间核苷酸序列及其推导氨基酸序列的同源性分别为85.7%-90.8%和83.3%-96.1%~87.5%-96.1%和91.9%-96.5%、92.6%-100%和92.5%-100%，与欧洲型代表株LV ORF7基因间核苷酸序列及其推导氨基酸序列的同源性分别为61.4%-63.7%和62.7%-64.7%。</w:t>
      </w:r>
    </w:p>
    <w:p w:rsidR="009D14A5" w:rsidRPr="005B4D1E" w:rsidRDefault="009D14A5" w:rsidP="00B03D18">
      <w:pPr>
        <w:pStyle w:val="a6"/>
        <w:spacing w:before="156"/>
      </w:pPr>
      <w:bookmarkStart w:id="69" w:name="_Toc405816430"/>
      <w:r w:rsidRPr="005B4D1E">
        <w:rPr>
          <w:rFonts w:hint="eastAsia"/>
        </w:rPr>
        <w:t>表</w:t>
      </w:r>
      <w:r w:rsidRPr="005B4D1E">
        <w:rPr>
          <w:rFonts w:hint="eastAsia"/>
        </w:rPr>
        <w:t>23</w:t>
      </w:r>
      <w:r w:rsidR="00B03D18">
        <w:rPr>
          <w:rFonts w:hint="eastAsia"/>
        </w:rPr>
        <w:t xml:space="preserve"> </w:t>
      </w:r>
      <w:r w:rsidRPr="005B4D1E">
        <w:rPr>
          <w:rFonts w:hint="eastAsia"/>
        </w:rPr>
        <w:t>本研究所得的</w:t>
      </w:r>
      <w:r w:rsidRPr="005B4D1E">
        <w:rPr>
          <w:rFonts w:hint="eastAsia"/>
        </w:rPr>
        <w:t>98</w:t>
      </w:r>
      <w:r w:rsidRPr="005B4D1E">
        <w:rPr>
          <w:rFonts w:hint="eastAsia"/>
        </w:rPr>
        <w:t>个</w:t>
      </w:r>
      <w:r w:rsidRPr="005B4D1E">
        <w:rPr>
          <w:rFonts w:hint="eastAsia"/>
        </w:rPr>
        <w:t>ORF7</w:t>
      </w:r>
      <w:r w:rsidRPr="005B4D1E">
        <w:rPr>
          <w:rFonts w:hint="eastAsia"/>
        </w:rPr>
        <w:t>基因序列同源性分析</w:t>
      </w:r>
      <w:bookmarkEnd w:id="69"/>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5270500" cy="1535430"/>
            <wp:effectExtent l="19050" t="0" r="6350" b="0"/>
            <wp:docPr id="5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66" cstate="print"/>
                    <a:srcRect/>
                    <a:stretch>
                      <a:fillRect/>
                    </a:stretch>
                  </pic:blipFill>
                  <pic:spPr bwMode="auto">
                    <a:xfrm>
                      <a:off x="0" y="0"/>
                      <a:ext cx="5270500" cy="1535430"/>
                    </a:xfrm>
                    <a:prstGeom prst="rect">
                      <a:avLst/>
                    </a:prstGeom>
                    <a:noFill/>
                    <a:ln w="9525">
                      <a:noFill/>
                      <a:miter lim="800000"/>
                      <a:headEnd/>
                      <a:tailEnd/>
                    </a:ln>
                  </pic:spPr>
                </pic:pic>
              </a:graphicData>
            </a:graphic>
          </wp:inline>
        </w:drawing>
      </w:r>
    </w:p>
    <w:p w:rsidR="009D14A5" w:rsidRPr="005B4D1E" w:rsidRDefault="009D14A5" w:rsidP="009D14A5">
      <w:pPr>
        <w:tabs>
          <w:tab w:val="left" w:pos="7597"/>
        </w:tabs>
        <w:wordWrap w:val="0"/>
        <w:spacing w:line="360" w:lineRule="auto"/>
        <w:rPr>
          <w:rFonts w:ascii="宋体" w:eastAsia="宋体" w:hAnsi="宋体"/>
          <w:sz w:val="21"/>
          <w:szCs w:val="21"/>
        </w:rPr>
      </w:pPr>
    </w:p>
    <w:p w:rsidR="009D14A5" w:rsidRPr="005B4D1E" w:rsidRDefault="009D14A5" w:rsidP="005B4D1E">
      <w:pPr>
        <w:tabs>
          <w:tab w:val="left" w:pos="7597"/>
        </w:tabs>
        <w:wordWrap w:val="0"/>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Nsp2、ORF5、ORF6、ORF7基因遗传进化分析：</w:t>
      </w:r>
      <w:r w:rsidRPr="005B4D1E">
        <w:rPr>
          <w:rFonts w:ascii="宋体" w:eastAsia="宋体" w:hAnsi="宋体" w:hint="eastAsia"/>
          <w:sz w:val="21"/>
          <w:szCs w:val="21"/>
        </w:rPr>
        <w:t>基于Nsp2、ORF5、ORF6、ORF7基因核苷酸序列的遗传进化树分别图</w:t>
      </w:r>
      <w:smartTag w:uri="urn:schemas-microsoft-com:office:smarttags" w:element="chmetcnv">
        <w:smartTagPr>
          <w:attr w:name="TCSC" w:val="0"/>
          <w:attr w:name="NumberType" w:val="1"/>
          <w:attr w:name="Negative" w:val="False"/>
          <w:attr w:name="HasSpace" w:val="False"/>
          <w:attr w:name="SourceValue" w:val="33"/>
          <w:attr w:name="UnitName" w:val="a"/>
        </w:smartTagPr>
        <w:r w:rsidRPr="005B4D1E">
          <w:rPr>
            <w:rFonts w:ascii="宋体" w:eastAsia="宋体" w:hAnsi="宋体" w:hint="eastAsia"/>
            <w:sz w:val="21"/>
            <w:szCs w:val="21"/>
          </w:rPr>
          <w:t>33A</w:t>
        </w:r>
      </w:smartTag>
      <w:r w:rsidRPr="005B4D1E">
        <w:rPr>
          <w:rFonts w:ascii="宋体" w:eastAsia="宋体" w:hAnsi="宋体" w:hint="eastAsia"/>
          <w:sz w:val="21"/>
          <w:szCs w:val="21"/>
        </w:rPr>
        <w:t>、33B、</w:t>
      </w:r>
      <w:smartTag w:uri="urn:schemas-microsoft-com:office:smarttags" w:element="chmetcnv">
        <w:smartTagPr>
          <w:attr w:name="TCSC" w:val="0"/>
          <w:attr w:name="NumberType" w:val="1"/>
          <w:attr w:name="Negative" w:val="False"/>
          <w:attr w:name="HasSpace" w:val="False"/>
          <w:attr w:name="SourceValue" w:val="33"/>
          <w:attr w:name="UnitName" w:val="C"/>
        </w:smartTagPr>
        <w:r w:rsidRPr="005B4D1E">
          <w:rPr>
            <w:rFonts w:ascii="宋体" w:eastAsia="宋体" w:hAnsi="宋体" w:hint="eastAsia"/>
            <w:sz w:val="21"/>
            <w:szCs w:val="21"/>
          </w:rPr>
          <w:t>33C</w:t>
        </w:r>
      </w:smartTag>
      <w:r w:rsidRPr="005B4D1E">
        <w:rPr>
          <w:rFonts w:ascii="宋体" w:eastAsia="宋体" w:hAnsi="宋体" w:hint="eastAsia"/>
          <w:sz w:val="21"/>
          <w:szCs w:val="21"/>
        </w:rPr>
        <w:t>、33D。基于上述基因核苷酸序列绘制的遗传进化树，可以将国内外PRRSV美洲型毒株分为4个亚群：以VR-2332株为代表的I亚群（图</w:t>
      </w:r>
      <w:smartTag w:uri="urn:schemas-microsoft-com:office:smarttags" w:element="chmetcnv">
        <w:smartTagPr>
          <w:attr w:name="TCSC" w:val="0"/>
          <w:attr w:name="NumberType" w:val="1"/>
          <w:attr w:name="Negative" w:val="False"/>
          <w:attr w:name="HasSpace" w:val="False"/>
          <w:attr w:name="SourceValue" w:val="33"/>
          <w:attr w:name="UnitName" w:val="a"/>
        </w:smartTagPr>
        <w:r w:rsidRPr="005B4D1E">
          <w:rPr>
            <w:rFonts w:ascii="宋体" w:eastAsia="宋体" w:hAnsi="宋体" w:hint="eastAsia"/>
            <w:sz w:val="21"/>
            <w:szCs w:val="21"/>
          </w:rPr>
          <w:t>33A</w:t>
        </w:r>
      </w:smartTag>
      <w:r w:rsidRPr="005B4D1E">
        <w:rPr>
          <w:rFonts w:ascii="宋体" w:eastAsia="宋体" w:hAnsi="宋体" w:hint="eastAsia"/>
          <w:sz w:val="21"/>
          <w:szCs w:val="21"/>
        </w:rPr>
        <w:t>中黑色标注部分），以CH-la株为代表的II亚群（图</w:t>
      </w:r>
      <w:smartTag w:uri="urn:schemas-microsoft-com:office:smarttags" w:element="chmetcnv">
        <w:smartTagPr>
          <w:attr w:name="TCSC" w:val="0"/>
          <w:attr w:name="NumberType" w:val="1"/>
          <w:attr w:name="Negative" w:val="False"/>
          <w:attr w:name="HasSpace" w:val="False"/>
          <w:attr w:name="SourceValue" w:val="33"/>
          <w:attr w:name="UnitName" w:val="a"/>
        </w:smartTagPr>
        <w:r w:rsidRPr="005B4D1E">
          <w:rPr>
            <w:rFonts w:ascii="宋体" w:eastAsia="宋体" w:hAnsi="宋体" w:hint="eastAsia"/>
            <w:sz w:val="21"/>
            <w:szCs w:val="21"/>
          </w:rPr>
          <w:t>33A</w:t>
        </w:r>
      </w:smartTag>
      <w:r w:rsidRPr="005B4D1E">
        <w:rPr>
          <w:rFonts w:ascii="宋体" w:eastAsia="宋体" w:hAnsi="宋体" w:hint="eastAsia"/>
          <w:sz w:val="21"/>
          <w:szCs w:val="21"/>
        </w:rPr>
        <w:t>中蓝色标注部分），以HB-1株为代表的III亚群（图</w:t>
      </w:r>
      <w:smartTag w:uri="urn:schemas-microsoft-com:office:smarttags" w:element="chmetcnv">
        <w:smartTagPr>
          <w:attr w:name="TCSC" w:val="0"/>
          <w:attr w:name="NumberType" w:val="1"/>
          <w:attr w:name="Negative" w:val="False"/>
          <w:attr w:name="HasSpace" w:val="False"/>
          <w:attr w:name="SourceValue" w:val="33"/>
          <w:attr w:name="UnitName" w:val="a"/>
        </w:smartTagPr>
        <w:r w:rsidRPr="005B4D1E">
          <w:rPr>
            <w:rFonts w:ascii="宋体" w:eastAsia="宋体" w:hAnsi="宋体" w:hint="eastAsia"/>
            <w:sz w:val="21"/>
            <w:szCs w:val="21"/>
          </w:rPr>
          <w:t>33A</w:t>
        </w:r>
      </w:smartTag>
      <w:r w:rsidRPr="005B4D1E">
        <w:rPr>
          <w:rFonts w:ascii="宋体" w:eastAsia="宋体" w:hAnsi="宋体" w:hint="eastAsia"/>
          <w:sz w:val="21"/>
          <w:szCs w:val="21"/>
        </w:rPr>
        <w:t>中绿色标注部分），以JXA1株为代表的IV亚群（图</w:t>
      </w:r>
      <w:smartTag w:uri="urn:schemas-microsoft-com:office:smarttags" w:element="chmetcnv">
        <w:smartTagPr>
          <w:attr w:name="TCSC" w:val="0"/>
          <w:attr w:name="NumberType" w:val="1"/>
          <w:attr w:name="Negative" w:val="False"/>
          <w:attr w:name="HasSpace" w:val="False"/>
          <w:attr w:name="SourceValue" w:val="33"/>
          <w:attr w:name="UnitName" w:val="a"/>
        </w:smartTagPr>
        <w:r w:rsidRPr="005B4D1E">
          <w:rPr>
            <w:rFonts w:ascii="宋体" w:eastAsia="宋体" w:hAnsi="宋体" w:hint="eastAsia"/>
            <w:sz w:val="21"/>
            <w:szCs w:val="21"/>
          </w:rPr>
          <w:t>33A</w:t>
        </w:r>
      </w:smartTag>
      <w:r w:rsidRPr="005B4D1E">
        <w:rPr>
          <w:rFonts w:ascii="宋体" w:eastAsia="宋体" w:hAnsi="宋体" w:hint="eastAsia"/>
          <w:sz w:val="21"/>
          <w:szCs w:val="21"/>
        </w:rPr>
        <w:t>中红色标注部分）。其中，本研究所得91个Nsp2基因序列中，0%(0/91)属于I亚群，0%(0/91)属于II亚群，3.30%(3/91)属于III亚群，96.70%(88/91)属于IV亚群。98个ORF5基因序列中，4.01%(4/98)属于I亚群，10.20%(10/98)属于II亚群，7.14%(7/98)属于III亚群，78.57%(77/98)属于IV亚群；98个ORF6基因序列中，0%(0/98)属于I亚群，0%(0/98)属于</w:t>
      </w:r>
      <w:r w:rsidRPr="005B4D1E">
        <w:rPr>
          <w:rFonts w:ascii="宋体" w:eastAsia="宋体" w:hAnsi="宋体" w:hint="eastAsia"/>
          <w:sz w:val="21"/>
          <w:szCs w:val="21"/>
        </w:rPr>
        <w:lastRenderedPageBreak/>
        <w:t>II亚群，10.20%(10/98)属于III亚群，89.80%(88/98)属于IV亚群；98个ORF7基因序列，6.12%(6/98)属于I亚群，9.18%(9/98)属于II亚群，9.18%(9/98)属于III亚群，75.51%(74/98)属于IV亚群。可见广西地区的PRRSV流行毒株在I、II、III、IV亚群均有分布，但以IV亚群为主。</w:t>
      </w:r>
    </w:p>
    <w:p w:rsidR="009D14A5" w:rsidRPr="005B4D1E" w:rsidRDefault="009D14A5" w:rsidP="005B4D1E">
      <w:pPr>
        <w:tabs>
          <w:tab w:val="left" w:pos="7597"/>
        </w:tabs>
        <w:wordWrap w:val="0"/>
        <w:spacing w:line="360" w:lineRule="auto"/>
        <w:ind w:firstLineChars="200" w:firstLine="420"/>
        <w:jc w:val="center"/>
        <w:rPr>
          <w:rFonts w:ascii="宋体" w:eastAsia="宋体" w:hAnsi="宋体"/>
          <w:sz w:val="21"/>
          <w:szCs w:val="21"/>
        </w:rPr>
      </w:pPr>
      <w:r w:rsidRPr="005B4D1E">
        <w:rPr>
          <w:rFonts w:ascii="宋体" w:eastAsia="宋体" w:hAnsi="宋体"/>
          <w:noProof/>
          <w:sz w:val="21"/>
          <w:szCs w:val="21"/>
        </w:rPr>
        <w:drawing>
          <wp:inline distT="0" distB="0" distL="0" distR="0">
            <wp:extent cx="4615180" cy="4312920"/>
            <wp:effectExtent l="19050" t="0" r="0" b="0"/>
            <wp:docPr id="58"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67" cstate="print"/>
                    <a:srcRect/>
                    <a:stretch>
                      <a:fillRect/>
                    </a:stretch>
                  </pic:blipFill>
                  <pic:spPr bwMode="auto">
                    <a:xfrm>
                      <a:off x="0" y="0"/>
                      <a:ext cx="4615180" cy="4312920"/>
                    </a:xfrm>
                    <a:prstGeom prst="rect">
                      <a:avLst/>
                    </a:prstGeom>
                    <a:noFill/>
                    <a:ln w="9525">
                      <a:noFill/>
                      <a:miter lim="800000"/>
                      <a:headEnd/>
                      <a:tailEnd/>
                    </a:ln>
                  </pic:spPr>
                </pic:pic>
              </a:graphicData>
            </a:graphic>
          </wp:inline>
        </w:drawing>
      </w:r>
    </w:p>
    <w:p w:rsidR="009D14A5" w:rsidRPr="005B4D1E" w:rsidRDefault="009D14A5" w:rsidP="00B03D18">
      <w:pPr>
        <w:pStyle w:val="a5"/>
        <w:spacing w:after="156"/>
      </w:pPr>
      <w:bookmarkStart w:id="70" w:name="_Toc405816337"/>
      <w:r w:rsidRPr="005B4D1E">
        <w:rPr>
          <w:rFonts w:hint="eastAsia"/>
        </w:rPr>
        <w:t>图</w:t>
      </w:r>
      <w:r w:rsidR="00B03D18">
        <w:rPr>
          <w:rFonts w:hint="eastAsia"/>
        </w:rPr>
        <w:t xml:space="preserve">33 </w:t>
      </w:r>
      <w:r w:rsidRPr="005B4D1E">
        <w:rPr>
          <w:rFonts w:hint="eastAsia"/>
        </w:rPr>
        <w:t>基于</w:t>
      </w:r>
      <w:r w:rsidRPr="005B4D1E">
        <w:rPr>
          <w:rFonts w:hint="eastAsia"/>
        </w:rPr>
        <w:t>Nsp2(A)</w:t>
      </w:r>
      <w:r w:rsidRPr="005B4D1E">
        <w:rPr>
          <w:rFonts w:hint="eastAsia"/>
        </w:rPr>
        <w:t>、</w:t>
      </w:r>
      <w:r w:rsidRPr="005B4D1E">
        <w:rPr>
          <w:rFonts w:hint="eastAsia"/>
        </w:rPr>
        <w:t>ORF5(B)</w:t>
      </w:r>
      <w:r w:rsidRPr="005B4D1E">
        <w:rPr>
          <w:rFonts w:hint="eastAsia"/>
        </w:rPr>
        <w:t>、</w:t>
      </w:r>
      <w:r w:rsidRPr="005B4D1E">
        <w:rPr>
          <w:rFonts w:hint="eastAsia"/>
        </w:rPr>
        <w:t>ORF6(C)</w:t>
      </w:r>
      <w:r w:rsidRPr="005B4D1E">
        <w:rPr>
          <w:rFonts w:hint="eastAsia"/>
        </w:rPr>
        <w:t>、</w:t>
      </w:r>
      <w:r w:rsidRPr="005B4D1E">
        <w:rPr>
          <w:rFonts w:hint="eastAsia"/>
        </w:rPr>
        <w:t>ORF7(D)</w:t>
      </w:r>
      <w:r w:rsidRPr="005B4D1E">
        <w:rPr>
          <w:rFonts w:hint="eastAsia"/>
        </w:rPr>
        <w:t>基因核苷酸序列的遗传进化树</w:t>
      </w:r>
      <w:bookmarkEnd w:id="70"/>
    </w:p>
    <w:p w:rsidR="009D14A5" w:rsidRPr="005B4D1E" w:rsidRDefault="009D14A5" w:rsidP="009D14A5">
      <w:pPr>
        <w:tabs>
          <w:tab w:val="left" w:pos="7597"/>
        </w:tabs>
        <w:wordWrap w:val="0"/>
        <w:spacing w:line="360" w:lineRule="auto"/>
        <w:rPr>
          <w:rFonts w:ascii="宋体" w:eastAsia="宋体" w:hAnsi="宋体"/>
          <w:b/>
          <w:bCs/>
          <w:sz w:val="21"/>
          <w:szCs w:val="21"/>
        </w:rPr>
      </w:pPr>
    </w:p>
    <w:p w:rsidR="009D14A5" w:rsidRPr="005B4D1E" w:rsidRDefault="009D14A5" w:rsidP="005B4D1E">
      <w:pPr>
        <w:tabs>
          <w:tab w:val="left" w:pos="7597"/>
        </w:tabs>
        <w:wordWrap w:val="0"/>
        <w:spacing w:line="360" w:lineRule="auto"/>
        <w:ind w:firstLineChars="200" w:firstLine="420"/>
        <w:rPr>
          <w:rFonts w:ascii="宋体" w:eastAsia="宋体" w:hAnsi="宋体"/>
          <w:sz w:val="21"/>
          <w:szCs w:val="21"/>
        </w:rPr>
      </w:pPr>
      <w:r w:rsidRPr="005B4D1E">
        <w:rPr>
          <w:rFonts w:ascii="宋体" w:eastAsia="宋体" w:hAnsi="宋体" w:hint="eastAsia"/>
          <w:sz w:val="21"/>
          <w:szCs w:val="21"/>
        </w:rPr>
        <w:t>对本研究所得的Nsp2、ORF5、ORF6、ORF7基因序列进行系统分析结果（见表24）表明，各个基因从保守位点来看，非免疫猪场比免疫猪场相对保守。就Nsp2基因而言，Nsp2基因中转换／颠换比(Ts/Tv ratio)，GXBSSZ猪场最高，为7.63，而GXLSFW猪场最低，为5.90；在核苷酸碱基的基础频率分布中，每个场的Nsp2基因的核苷酸基础频率分布无大的差异。在非同义／同义比中(The nonsynonymous/synonymous substitution ratio(</w:t>
      </w:r>
      <w:r w:rsidRPr="005B4D1E">
        <w:rPr>
          <w:rFonts w:ascii="宋体" w:eastAsia="宋体" w:hAnsi="宋体"/>
          <w:sz w:val="21"/>
          <w:szCs w:val="21"/>
        </w:rPr>
        <w:t>ω</w:t>
      </w:r>
      <w:r w:rsidRPr="005B4D1E">
        <w:rPr>
          <w:rFonts w:ascii="宋体" w:eastAsia="宋体" w:hAnsi="宋体" w:hint="eastAsia"/>
          <w:sz w:val="21"/>
          <w:szCs w:val="21"/>
        </w:rPr>
        <w:t>=dN/dS) value)，GXLAXS、GXLSFW、GXLSNM和GXBSSZ猪场分离得到的Nsp2基因分别为0.1997、0.2091、0.1839、0.2108。而在ORF5基因，其转换／颠换比(Ts/Tv ratio)，GXLAXS猪场最高，为4.73，GXLSNM猪场最低，为3.84；在核苷酸碱基的基础频率分布中，每个场的ORF5基因都差不多，只有GXLAXS猪场的ORF5基因中的C和T与其他三个场的差距比较大。在非同义／同义比中，GXLAXS、GXLSFW、GXLSNM和GXBSSZ猪场分离得到的ORF5分别为0.5682、0.</w:t>
      </w:r>
      <w:r w:rsidRPr="005B4D1E">
        <w:rPr>
          <w:rFonts w:ascii="宋体" w:eastAsia="宋体" w:hAnsi="宋体" w:hint="eastAsia"/>
          <w:sz w:val="21"/>
          <w:szCs w:val="21"/>
        </w:rPr>
        <w:lastRenderedPageBreak/>
        <w:t>4596、0.3889、0.3908。在ORF6基因，其Ts/Tv ratio则是GXLSFW猪场比较高，达到了6.17，GXLSNM猪场相对较低，为5.72。在非同义／同义比中，GXLAXS、GXLSFW、GXLSNM和GXBSSZ猪场分离得到的ORF6基因分别为0.2039、0.1554、0.1339、0.1370。在ORF7基因，其转换／颠换比(Ts/Tv ratio)，GXLAXS最高，为4.12，而GXLSFW最低，为3.47。在非同义／同义比中，GXLAXS、GXLSFW、GXLSNM和GXBSSZ猪场分离得到的ORF7基因分别为0.5214、0.4672、0.3764、03238。</w:t>
      </w:r>
    </w:p>
    <w:p w:rsidR="009D14A5" w:rsidRPr="005B4D1E" w:rsidRDefault="009D14A5" w:rsidP="005B4D1E">
      <w:pPr>
        <w:tabs>
          <w:tab w:val="left" w:pos="7597"/>
        </w:tabs>
        <w:wordWrap w:val="0"/>
        <w:spacing w:line="360" w:lineRule="auto"/>
        <w:ind w:firstLineChars="200" w:firstLine="420"/>
        <w:rPr>
          <w:rFonts w:ascii="宋体" w:eastAsia="宋体" w:hAnsi="宋体"/>
          <w:sz w:val="21"/>
          <w:szCs w:val="21"/>
        </w:rPr>
      </w:pPr>
    </w:p>
    <w:p w:rsidR="009D14A5" w:rsidRPr="005B4D1E" w:rsidRDefault="009D14A5" w:rsidP="00B03D18">
      <w:pPr>
        <w:pStyle w:val="a6"/>
        <w:spacing w:before="156"/>
      </w:pPr>
      <w:bookmarkStart w:id="71" w:name="_Toc405816431"/>
      <w:r w:rsidRPr="005B4D1E">
        <w:rPr>
          <w:rFonts w:hint="eastAsia"/>
        </w:rPr>
        <w:t>表</w:t>
      </w:r>
      <w:r w:rsidR="00B03D18">
        <w:rPr>
          <w:rFonts w:hint="eastAsia"/>
        </w:rPr>
        <w:t xml:space="preserve">24 </w:t>
      </w:r>
      <w:r w:rsidRPr="005B4D1E">
        <w:rPr>
          <w:rFonts w:hint="eastAsia"/>
        </w:rPr>
        <w:t>Nsp2</w:t>
      </w:r>
      <w:r w:rsidRPr="005B4D1E">
        <w:rPr>
          <w:rFonts w:hint="eastAsia"/>
        </w:rPr>
        <w:t>、</w:t>
      </w:r>
      <w:r w:rsidRPr="005B4D1E">
        <w:rPr>
          <w:rFonts w:hint="eastAsia"/>
        </w:rPr>
        <w:t>ORF5</w:t>
      </w:r>
      <w:r w:rsidRPr="005B4D1E">
        <w:rPr>
          <w:rFonts w:hint="eastAsia"/>
        </w:rPr>
        <w:t>、</w:t>
      </w:r>
      <w:r w:rsidRPr="005B4D1E">
        <w:rPr>
          <w:rFonts w:hint="eastAsia"/>
        </w:rPr>
        <w:t>ORF6</w:t>
      </w:r>
      <w:r w:rsidRPr="005B4D1E">
        <w:rPr>
          <w:rFonts w:hint="eastAsia"/>
        </w:rPr>
        <w:t>和</w:t>
      </w:r>
      <w:r w:rsidRPr="005B4D1E">
        <w:rPr>
          <w:rFonts w:hint="eastAsia"/>
        </w:rPr>
        <w:t>ORF7</w:t>
      </w:r>
      <w:r w:rsidRPr="005B4D1E">
        <w:rPr>
          <w:rFonts w:hint="eastAsia"/>
        </w:rPr>
        <w:t>基因序列分析结果</w:t>
      </w:r>
      <w:bookmarkEnd w:id="71"/>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noProof/>
          <w:sz w:val="21"/>
          <w:szCs w:val="21"/>
        </w:rPr>
        <w:drawing>
          <wp:inline distT="0" distB="0" distL="0" distR="0">
            <wp:extent cx="5270500" cy="3226435"/>
            <wp:effectExtent l="19050" t="0" r="6350" b="0"/>
            <wp:docPr id="59"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pic:cNvPicPr>
                      <a:picLocks noChangeAspect="1" noChangeArrowheads="1"/>
                    </pic:cNvPicPr>
                  </pic:nvPicPr>
                  <pic:blipFill>
                    <a:blip r:embed="rId68" cstate="print"/>
                    <a:srcRect/>
                    <a:stretch>
                      <a:fillRect/>
                    </a:stretch>
                  </pic:blipFill>
                  <pic:spPr bwMode="auto">
                    <a:xfrm>
                      <a:off x="0" y="0"/>
                      <a:ext cx="5270500" cy="3226435"/>
                    </a:xfrm>
                    <a:prstGeom prst="rect">
                      <a:avLst/>
                    </a:prstGeom>
                    <a:noFill/>
                    <a:ln w="9525">
                      <a:noFill/>
                      <a:miter lim="800000"/>
                      <a:headEnd/>
                      <a:tailEnd/>
                    </a:ln>
                  </pic:spPr>
                </pic:pic>
              </a:graphicData>
            </a:graphic>
          </wp:inline>
        </w:drawing>
      </w:r>
    </w:p>
    <w:p w:rsidR="009D14A5" w:rsidRPr="005B4D1E" w:rsidRDefault="009D14A5" w:rsidP="009D14A5">
      <w:pPr>
        <w:tabs>
          <w:tab w:val="left" w:pos="7597"/>
        </w:tabs>
        <w:wordWrap w:val="0"/>
        <w:spacing w:line="360" w:lineRule="auto"/>
        <w:rPr>
          <w:rFonts w:ascii="宋体" w:eastAsia="宋体" w:hAnsi="宋体"/>
          <w:sz w:val="21"/>
          <w:szCs w:val="21"/>
        </w:rPr>
      </w:pP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基于Nsp2基因的进化速率分析：</w:t>
      </w:r>
      <w:r w:rsidRPr="005B4D1E">
        <w:rPr>
          <w:rFonts w:ascii="宋体" w:eastAsia="宋体" w:hAnsi="宋体" w:hint="eastAsia"/>
          <w:sz w:val="21"/>
          <w:szCs w:val="21"/>
        </w:rPr>
        <w:t>基于本研究获得的Nsp2基因序列运用贝叶斯接合的方法进行进化速率分析（见表25）。结果表明，GXLAXS猪场Nsp2基因的平均进化速率是4.21</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-4</w:t>
      </w:r>
      <w:r w:rsidRPr="005B4D1E">
        <w:rPr>
          <w:rFonts w:ascii="宋体" w:eastAsia="宋体" w:hAnsi="宋体" w:hint="eastAsia"/>
          <w:sz w:val="21"/>
          <w:szCs w:val="21"/>
        </w:rPr>
        <w:t>(95%HPD=2.17-5.62</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-4</w:t>
      </w:r>
      <w:r w:rsidRPr="005B4D1E">
        <w:rPr>
          <w:rFonts w:ascii="宋体" w:eastAsia="宋体" w:hAnsi="宋体" w:hint="eastAsia"/>
          <w:sz w:val="21"/>
          <w:szCs w:val="21"/>
        </w:rPr>
        <w:t>) substitutions/site/day；最近共同祖先的估计时间(Estimated time for most recent common ancestor-tMRCA)为547.4(95%HPD=423.2-607.9)天之前(days before)；GXLSFW猪场Nsp2基因的平均进化速率是4.14</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-4</w:t>
      </w:r>
      <w:r w:rsidRPr="005B4D1E">
        <w:rPr>
          <w:rFonts w:ascii="宋体" w:eastAsia="宋体" w:hAnsi="宋体" w:hint="eastAsia"/>
          <w:sz w:val="21"/>
          <w:szCs w:val="21"/>
        </w:rPr>
        <w:t>(95%HPD=2.26-5.69</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-4</w:t>
      </w:r>
      <w:r w:rsidRPr="005B4D1E">
        <w:rPr>
          <w:rFonts w:ascii="宋体" w:eastAsia="宋体" w:hAnsi="宋体" w:hint="eastAsia"/>
          <w:sz w:val="21"/>
          <w:szCs w:val="21"/>
        </w:rPr>
        <w:t>) substitutions/site/day；tMRCA为555.5(95%HPD=437.7-612.6)天之前；GXBSSZ猪场Nsp2的平均进化速率是4.37</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-4</w:t>
      </w:r>
      <w:r w:rsidRPr="005B4D1E">
        <w:rPr>
          <w:rFonts w:ascii="宋体" w:eastAsia="宋体" w:hAnsi="宋体" w:hint="eastAsia"/>
          <w:sz w:val="21"/>
          <w:szCs w:val="21"/>
        </w:rPr>
        <w:t>(95%HPD=2.345.74-l0</w:t>
      </w:r>
      <w:r w:rsidRPr="005B4D1E">
        <w:rPr>
          <w:rFonts w:ascii="宋体" w:eastAsia="宋体" w:hAnsi="宋体" w:hint="eastAsia"/>
          <w:sz w:val="21"/>
          <w:szCs w:val="21"/>
          <w:vertAlign w:val="superscript"/>
        </w:rPr>
        <w:t>-4</w:t>
      </w:r>
      <w:r w:rsidRPr="005B4D1E">
        <w:rPr>
          <w:rFonts w:ascii="宋体" w:eastAsia="宋体" w:hAnsi="宋体" w:hint="eastAsia"/>
          <w:sz w:val="21"/>
          <w:szCs w:val="21"/>
        </w:rPr>
        <w:t>)substitutions/site/day；tMRCA为558.6(95%HPD=432.5-606.8)天之前；GXLSNM猪场Nsp2基因的平均进化速率是4.46</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-4</w:t>
      </w:r>
      <w:r w:rsidRPr="005B4D1E">
        <w:rPr>
          <w:rFonts w:ascii="宋体" w:eastAsia="宋体" w:hAnsi="宋体" w:hint="eastAsia"/>
          <w:sz w:val="21"/>
          <w:szCs w:val="21"/>
        </w:rPr>
        <w:t>(95%HPD=2.43-5.77</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-4</w:t>
      </w:r>
      <w:r w:rsidRPr="005B4D1E">
        <w:rPr>
          <w:rFonts w:ascii="宋体" w:eastAsia="宋体" w:hAnsi="宋体" w:hint="eastAsia"/>
          <w:sz w:val="21"/>
          <w:szCs w:val="21"/>
        </w:rPr>
        <w:t>) substitutions/site/day;tMRCA为571.1(95%HPD=445.7-619.9)天之前。</w:t>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lastRenderedPageBreak/>
        <w:t xml:space="preserve">    </w:t>
      </w:r>
      <w:r w:rsidRPr="005B4D1E">
        <w:rPr>
          <w:rFonts w:ascii="宋体" w:eastAsia="宋体" w:hAnsi="宋体" w:hint="eastAsia"/>
          <w:b/>
          <w:sz w:val="21"/>
          <w:szCs w:val="21"/>
        </w:rPr>
        <w:t>基于ORF5的进化速率分析：</w:t>
      </w:r>
      <w:r w:rsidRPr="005B4D1E">
        <w:rPr>
          <w:rFonts w:ascii="宋体" w:eastAsia="宋体" w:hAnsi="宋体" w:hint="eastAsia"/>
          <w:sz w:val="21"/>
          <w:szCs w:val="21"/>
        </w:rPr>
        <w:t>基于本研究获得的ORF5基因序列运用贝叶斯接合的方法进行进化速率分析（见25）。结果表明，GXLAXS猪场ORF5的平均进化速率是3.84</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-5</w:t>
      </w:r>
      <w:r w:rsidRPr="005B4D1E">
        <w:rPr>
          <w:rFonts w:ascii="宋体" w:eastAsia="宋体" w:hAnsi="宋体" w:hint="eastAsia"/>
          <w:sz w:val="21"/>
          <w:szCs w:val="21"/>
        </w:rPr>
        <w:t>(95%HPD=2.17-5.56×10</w:t>
      </w:r>
      <w:r w:rsidRPr="005B4D1E">
        <w:rPr>
          <w:rFonts w:ascii="宋体" w:eastAsia="宋体" w:hAnsi="宋体" w:hint="eastAsia"/>
          <w:sz w:val="21"/>
          <w:szCs w:val="21"/>
          <w:vertAlign w:val="superscript"/>
        </w:rPr>
        <w:t>-5</w:t>
      </w:r>
      <w:r w:rsidRPr="005B4D1E">
        <w:rPr>
          <w:rFonts w:ascii="宋体" w:eastAsia="宋体" w:hAnsi="宋体" w:hint="eastAsia"/>
          <w:sz w:val="21"/>
          <w:szCs w:val="21"/>
        </w:rPr>
        <w:t>)substitutions/site/day，tMRCA为521.3(95%HPD=440.7-650.2)天之前(days before)；GXLSFW猪场ORF5的平均进化速率是4.12</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-5</w:t>
      </w:r>
      <w:r w:rsidRPr="005B4D1E">
        <w:rPr>
          <w:rFonts w:ascii="宋体" w:eastAsia="宋体" w:hAnsi="宋体" w:hint="eastAsia"/>
          <w:sz w:val="21"/>
          <w:szCs w:val="21"/>
        </w:rPr>
        <w:t>(95%HPD=2.48-5.84</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-5</w:t>
      </w:r>
      <w:r w:rsidRPr="005B4D1E">
        <w:rPr>
          <w:rFonts w:ascii="宋体" w:eastAsia="宋体" w:hAnsi="宋体" w:hint="eastAsia"/>
          <w:sz w:val="21"/>
          <w:szCs w:val="21"/>
        </w:rPr>
        <w:t>) substitutions/site/day，tMRCA为569.7(95%HPD=439.6-646.7)天之前；GXBSSZ猪场ORF5的平均进化速率是4.06</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-5</w:t>
      </w:r>
      <w:r w:rsidRPr="005B4D1E">
        <w:rPr>
          <w:rFonts w:ascii="宋体" w:eastAsia="宋体" w:hAnsi="宋体" w:hint="eastAsia"/>
          <w:sz w:val="21"/>
          <w:szCs w:val="21"/>
        </w:rPr>
        <w:t>(95%HPD=2.34-5.62</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-5</w:t>
      </w:r>
      <w:r w:rsidRPr="005B4D1E">
        <w:rPr>
          <w:rFonts w:ascii="宋体" w:eastAsia="宋体" w:hAnsi="宋体" w:hint="eastAsia"/>
          <w:sz w:val="21"/>
          <w:szCs w:val="21"/>
        </w:rPr>
        <w:t>)substitutions/site/day，tMRCA为537.3(95%HPD=441.2-652.6)天之前；GXLSNM猪场ORF5的平均进化速率是4.34</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-5</w:t>
      </w:r>
      <w:r w:rsidRPr="005B4D1E">
        <w:rPr>
          <w:rFonts w:ascii="宋体" w:eastAsia="宋体" w:hAnsi="宋体" w:hint="eastAsia"/>
          <w:sz w:val="21"/>
          <w:szCs w:val="21"/>
        </w:rPr>
        <w:t>(95%HPD=2.71-5.98</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-5</w:t>
      </w:r>
      <w:r w:rsidRPr="005B4D1E">
        <w:rPr>
          <w:rFonts w:ascii="宋体" w:eastAsia="宋体" w:hAnsi="宋体" w:hint="eastAsia"/>
          <w:sz w:val="21"/>
          <w:szCs w:val="21"/>
        </w:rPr>
        <w:t>) substitutions/site/day，tMRCA为585.8(95%HPD=442.3-655.7)天之前。</w:t>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基于ORF6的进化速率分析：</w:t>
      </w:r>
      <w:r w:rsidRPr="005B4D1E">
        <w:rPr>
          <w:rFonts w:ascii="宋体" w:eastAsia="宋体" w:hAnsi="宋体" w:hint="eastAsia"/>
          <w:sz w:val="21"/>
          <w:szCs w:val="21"/>
        </w:rPr>
        <w:t>基于本研究获得的ORF6基因序列运用贝叶斯接合的方法进行进化速率分析（见表25）。结果表明，GXLAXS猪场ORF6基因的平均进化速率是2.60</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(95%HPD=1.25-3.83</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 substitutions/site/day；tMRCA为560.2(95%HPD=437.9-616.6)天之前；GXLSFW猪场ORF6基因的平均进化速率是2.57</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(95%HPD=1.17-3.72</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 substitutions/site/day；tMRCA为586.7(95%HPD=460.2-631.7)天之前；GXBSSZ猪场ORF6基因的平均进化速率是2.69</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(95%HPD=1.36-3.92</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)substitutions/site/day；tMRCA为577.6(95%HPD=437.1-625.6)天之前；GXLSNM猪场ORF6基因的平均进化速率是2.73</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(95%HPD=1.43-4.06</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 substitutions/site/day；tMRCA为603.4(95%HPD=472.8-637.4)夭之前。</w:t>
      </w:r>
    </w:p>
    <w:p w:rsidR="009D14A5" w:rsidRDefault="009D14A5" w:rsidP="00B03D18">
      <w:pPr>
        <w:tabs>
          <w:tab w:val="left" w:pos="7597"/>
        </w:tabs>
        <w:wordWrap w:val="0"/>
        <w:spacing w:line="360" w:lineRule="auto"/>
        <w:ind w:firstLine="405"/>
        <w:rPr>
          <w:rFonts w:ascii="宋体" w:eastAsia="宋体" w:hAnsi="宋体"/>
          <w:sz w:val="21"/>
          <w:szCs w:val="21"/>
        </w:rPr>
      </w:pPr>
      <w:r w:rsidRPr="005B4D1E">
        <w:rPr>
          <w:rFonts w:ascii="宋体" w:eastAsia="宋体" w:hAnsi="宋体" w:hint="eastAsia"/>
          <w:b/>
          <w:sz w:val="21"/>
          <w:szCs w:val="21"/>
        </w:rPr>
        <w:t>基于ORF7的进化速率分析：</w:t>
      </w:r>
      <w:r w:rsidRPr="005B4D1E">
        <w:rPr>
          <w:rFonts w:ascii="宋体" w:eastAsia="宋体" w:hAnsi="宋体" w:hint="eastAsia"/>
          <w:sz w:val="21"/>
          <w:szCs w:val="21"/>
        </w:rPr>
        <w:t>基于本研究获得的ORF7基因序列运用贝叶斯接合的方法进行进化速率分析（见表25）。结果表明，GXLAXS猪场ORF7的平均进化速率是4.72</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(95%HPD=3.07-6.32</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)substitutions/site/day，tMRCA为550.7(95%HPD=435.3.7-620.2)天之前；GXLSFW猪场ORF7的平均进化速率是4.96</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(95%HPD=3.24-6.53</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 substitutions/site/day，tMRCA为587.6(95%HPD=457.6-623.9)天之前；GXBSSZ猪场ORF7的平均进化速率是4.84</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(95%HPD=3.18-6.27</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)substitutions/site/day，tMRCA为579.3(95%HPD=432.5-618.6)天之前；GXLSNM猪场ORF7的平均进化速率是5.02</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(95%HPD=3.35-6.31</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 xml:space="preserve"> )substitutions/site/day，tMRCA为595.4(95%HPD=461.2-626.8)天之前。</w:t>
      </w:r>
    </w:p>
    <w:p w:rsidR="00B03D18" w:rsidRDefault="00B03D18" w:rsidP="00B03D18">
      <w:pPr>
        <w:tabs>
          <w:tab w:val="left" w:pos="7597"/>
        </w:tabs>
        <w:wordWrap w:val="0"/>
        <w:spacing w:line="360" w:lineRule="auto"/>
        <w:ind w:firstLine="405"/>
        <w:rPr>
          <w:rFonts w:ascii="宋体" w:eastAsia="宋体" w:hAnsi="宋体"/>
          <w:sz w:val="21"/>
          <w:szCs w:val="21"/>
        </w:rPr>
      </w:pPr>
    </w:p>
    <w:p w:rsidR="00B03D18" w:rsidRDefault="00B03D18" w:rsidP="00B03D18">
      <w:pPr>
        <w:tabs>
          <w:tab w:val="left" w:pos="7597"/>
        </w:tabs>
        <w:wordWrap w:val="0"/>
        <w:spacing w:line="360" w:lineRule="auto"/>
        <w:ind w:firstLine="405"/>
        <w:rPr>
          <w:rFonts w:ascii="宋体" w:eastAsia="宋体" w:hAnsi="宋体"/>
          <w:sz w:val="21"/>
          <w:szCs w:val="21"/>
        </w:rPr>
      </w:pPr>
    </w:p>
    <w:p w:rsidR="00B03D18" w:rsidRDefault="00B03D18" w:rsidP="00B03D18">
      <w:pPr>
        <w:tabs>
          <w:tab w:val="left" w:pos="7597"/>
        </w:tabs>
        <w:wordWrap w:val="0"/>
        <w:spacing w:line="360" w:lineRule="auto"/>
        <w:ind w:firstLine="405"/>
        <w:rPr>
          <w:rFonts w:ascii="宋体" w:eastAsia="宋体" w:hAnsi="宋体"/>
          <w:sz w:val="21"/>
          <w:szCs w:val="21"/>
        </w:rPr>
      </w:pPr>
    </w:p>
    <w:p w:rsidR="00B03D18" w:rsidRDefault="00B03D18" w:rsidP="00B03D18">
      <w:pPr>
        <w:tabs>
          <w:tab w:val="left" w:pos="7597"/>
        </w:tabs>
        <w:wordWrap w:val="0"/>
        <w:spacing w:line="360" w:lineRule="auto"/>
        <w:ind w:firstLine="405"/>
        <w:rPr>
          <w:rFonts w:ascii="宋体" w:eastAsia="宋体" w:hAnsi="宋体"/>
          <w:sz w:val="21"/>
          <w:szCs w:val="21"/>
        </w:rPr>
      </w:pPr>
    </w:p>
    <w:p w:rsidR="00B03D18" w:rsidRPr="005B4D1E" w:rsidRDefault="00B03D18" w:rsidP="00B03D18">
      <w:pPr>
        <w:tabs>
          <w:tab w:val="left" w:pos="7597"/>
        </w:tabs>
        <w:wordWrap w:val="0"/>
        <w:spacing w:line="360" w:lineRule="auto"/>
        <w:ind w:firstLine="405"/>
        <w:rPr>
          <w:rFonts w:ascii="宋体" w:eastAsia="宋体" w:hAnsi="宋体"/>
          <w:sz w:val="21"/>
          <w:szCs w:val="21"/>
        </w:rPr>
      </w:pPr>
    </w:p>
    <w:p w:rsidR="009D14A5" w:rsidRPr="005B4D1E" w:rsidRDefault="009D14A5" w:rsidP="00B03D18">
      <w:pPr>
        <w:pStyle w:val="a6"/>
        <w:spacing w:before="156"/>
      </w:pPr>
      <w:bookmarkStart w:id="72" w:name="_Toc405816432"/>
      <w:r w:rsidRPr="005B4D1E">
        <w:rPr>
          <w:rFonts w:hint="eastAsia"/>
        </w:rPr>
        <w:lastRenderedPageBreak/>
        <w:t>表</w:t>
      </w:r>
      <w:r w:rsidRPr="005B4D1E">
        <w:rPr>
          <w:rFonts w:hint="eastAsia"/>
        </w:rPr>
        <w:t xml:space="preserve">25  </w:t>
      </w:r>
      <w:r w:rsidRPr="005B4D1E">
        <w:rPr>
          <w:rFonts w:hint="eastAsia"/>
        </w:rPr>
        <w:t>基于</w:t>
      </w:r>
      <w:r w:rsidRPr="005B4D1E">
        <w:rPr>
          <w:rFonts w:hint="eastAsia"/>
        </w:rPr>
        <w:t>Nsp2</w:t>
      </w:r>
      <w:r w:rsidRPr="005B4D1E">
        <w:rPr>
          <w:rFonts w:hint="eastAsia"/>
        </w:rPr>
        <w:t>、</w:t>
      </w:r>
      <w:r w:rsidRPr="005B4D1E">
        <w:rPr>
          <w:rFonts w:hint="eastAsia"/>
        </w:rPr>
        <w:t>ORF5</w:t>
      </w:r>
      <w:r w:rsidRPr="005B4D1E">
        <w:rPr>
          <w:rFonts w:hint="eastAsia"/>
        </w:rPr>
        <w:t>、</w:t>
      </w:r>
      <w:r w:rsidRPr="005B4D1E">
        <w:rPr>
          <w:rFonts w:hint="eastAsia"/>
        </w:rPr>
        <w:t>ORF6</w:t>
      </w:r>
      <w:r w:rsidRPr="005B4D1E">
        <w:rPr>
          <w:rFonts w:hint="eastAsia"/>
        </w:rPr>
        <w:t>和</w:t>
      </w:r>
      <w:r w:rsidRPr="005B4D1E">
        <w:rPr>
          <w:rFonts w:hint="eastAsia"/>
        </w:rPr>
        <w:t>ORF7</w:t>
      </w:r>
      <w:r w:rsidRPr="005B4D1E">
        <w:rPr>
          <w:rFonts w:hint="eastAsia"/>
        </w:rPr>
        <w:t>基因序列进化速率及</w:t>
      </w:r>
      <w:r w:rsidRPr="005B4D1E">
        <w:rPr>
          <w:rFonts w:hint="eastAsia"/>
        </w:rPr>
        <w:t>tMRCA</w:t>
      </w:r>
      <w:bookmarkEnd w:id="72"/>
    </w:p>
    <w:p w:rsidR="009D14A5" w:rsidRPr="005B4D1E" w:rsidRDefault="009D14A5" w:rsidP="009D14A5">
      <w:pPr>
        <w:tabs>
          <w:tab w:val="left" w:pos="7597"/>
        </w:tabs>
        <w:wordWrap w:val="0"/>
        <w:spacing w:line="360" w:lineRule="auto"/>
        <w:jc w:val="center"/>
        <w:rPr>
          <w:rFonts w:ascii="宋体" w:eastAsia="宋体" w:hAnsi="宋体"/>
          <w:b/>
          <w:bCs/>
          <w:sz w:val="21"/>
          <w:szCs w:val="21"/>
        </w:rPr>
      </w:pPr>
      <w:r w:rsidRPr="005B4D1E">
        <w:rPr>
          <w:rFonts w:ascii="宋体" w:eastAsia="宋体" w:hAnsi="宋体"/>
          <w:noProof/>
          <w:sz w:val="21"/>
          <w:szCs w:val="21"/>
        </w:rPr>
        <w:drawing>
          <wp:inline distT="0" distB="0" distL="0" distR="0">
            <wp:extent cx="5012055" cy="6504305"/>
            <wp:effectExtent l="19050" t="0" r="0" b="0"/>
            <wp:docPr id="60"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69" cstate="print"/>
                    <a:srcRect/>
                    <a:stretch>
                      <a:fillRect/>
                    </a:stretch>
                  </pic:blipFill>
                  <pic:spPr bwMode="auto">
                    <a:xfrm>
                      <a:off x="0" y="0"/>
                      <a:ext cx="5012055" cy="6504305"/>
                    </a:xfrm>
                    <a:prstGeom prst="rect">
                      <a:avLst/>
                    </a:prstGeom>
                    <a:noFill/>
                    <a:ln w="9525">
                      <a:noFill/>
                      <a:miter lim="800000"/>
                      <a:headEnd/>
                      <a:tailEnd/>
                    </a:ln>
                  </pic:spPr>
                </pic:pic>
              </a:graphicData>
            </a:graphic>
          </wp:inline>
        </w:drawing>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a：Estimated time for most recent common ancestor；b:95%highest probability density</w:t>
      </w:r>
    </w:p>
    <w:p w:rsidR="009D14A5" w:rsidRPr="005B4D1E" w:rsidRDefault="009D14A5" w:rsidP="009D14A5">
      <w:pPr>
        <w:tabs>
          <w:tab w:val="left" w:pos="7597"/>
        </w:tabs>
        <w:wordWrap w:val="0"/>
        <w:spacing w:line="360" w:lineRule="auto"/>
        <w:rPr>
          <w:rFonts w:ascii="宋体" w:eastAsia="宋体" w:hAnsi="宋体"/>
          <w:sz w:val="21"/>
          <w:szCs w:val="21"/>
        </w:rPr>
      </w:pP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基于Nsp2、ORF5、ORF6和ORF7基因序列的平均进化速率发现，4个猪场的PRRSV流行毒株，其Nsp2、ORF5、ORF6、ORF7基因的平均进化速率分别为4.30</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-4</w:t>
      </w:r>
      <w:r w:rsidRPr="005B4D1E">
        <w:rPr>
          <w:rFonts w:ascii="宋体" w:eastAsia="宋体" w:hAnsi="宋体" w:hint="eastAsia"/>
          <w:sz w:val="21"/>
          <w:szCs w:val="21"/>
        </w:rPr>
        <w:t>、4.09</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-5</w:t>
      </w:r>
      <w:r w:rsidRPr="005B4D1E">
        <w:rPr>
          <w:rFonts w:ascii="宋体" w:eastAsia="宋体" w:hAnsi="宋体" w:hint="eastAsia"/>
          <w:sz w:val="21"/>
          <w:szCs w:val="21"/>
        </w:rPr>
        <w:t>、2.65</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、4.89</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，表明在4个基因中，Nsp2基因最容易发生变异，其次是ORF5基因，</w:t>
      </w:r>
      <w:r w:rsidRPr="005B4D1E">
        <w:rPr>
          <w:rFonts w:ascii="宋体" w:eastAsia="宋体" w:hAnsi="宋体" w:hint="eastAsia"/>
          <w:sz w:val="21"/>
          <w:szCs w:val="21"/>
        </w:rPr>
        <w:lastRenderedPageBreak/>
        <w:t>然后是ORF7基因，而ORF6基因最稳定。非免疫猪场Nsp2、ORF5、ORF6、ORF7基因的平均进化速率为4.18</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-4</w:t>
      </w:r>
      <w:r w:rsidRPr="005B4D1E">
        <w:rPr>
          <w:rFonts w:ascii="宋体" w:eastAsia="宋体" w:hAnsi="宋体" w:hint="eastAsia"/>
          <w:sz w:val="21"/>
          <w:szCs w:val="21"/>
        </w:rPr>
        <w:t>、3.98</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-5</w:t>
      </w:r>
      <w:r w:rsidRPr="005B4D1E">
        <w:rPr>
          <w:rFonts w:ascii="宋体" w:eastAsia="宋体" w:hAnsi="宋体" w:hint="eastAsia"/>
          <w:sz w:val="21"/>
          <w:szCs w:val="21"/>
        </w:rPr>
        <w:t>、2.59</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和4.84</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 xml:space="preserve"> substitutions/site/day，免疫猪场Nsp2、ORF5、ORF6、ORF7基因的平均进化速率为4.42</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-4</w:t>
      </w:r>
      <w:r w:rsidRPr="005B4D1E">
        <w:rPr>
          <w:rFonts w:ascii="宋体" w:eastAsia="宋体" w:hAnsi="宋体" w:hint="eastAsia"/>
          <w:sz w:val="21"/>
          <w:szCs w:val="21"/>
        </w:rPr>
        <w:t>、4.20</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-5</w:t>
      </w:r>
      <w:r w:rsidRPr="005B4D1E">
        <w:rPr>
          <w:rFonts w:ascii="宋体" w:eastAsia="宋体" w:hAnsi="宋体" w:hint="eastAsia"/>
          <w:sz w:val="21"/>
          <w:szCs w:val="21"/>
        </w:rPr>
        <w:t>、2.71</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和4.93×10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 xml:space="preserve"> substitutions/site/day，表明免疫猪场中的PRRSV流行毒株与非免疫猪场中的PRRSV流行毒株相比，Nsp2、ORF5、ORF6、ORF7基因的进化速率要快。</w:t>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小结：为研究在免疫压力下HP-PRRSV田间流行毒株的遗传进化情况，2011-2012年两年内在广西境内定点四个规模猪场（其中两个不免疫PRRSV疫苗，另外两个免疫PRRSV疫苗），每个季度采集一定数量的血清及组织样品进行PRRSV抗体及病原检测。结果，四个猪场每个季度的平均PRRSV抗体水平（S/P均值）都在阳性临界值以上；通过RT-PCR及克隆技术，在四个猪场获得Nsp2基因序列91个，ORF5、ORF6、ORF7基因序列各98个。分析显示，所得到的基因序列都属于美洲型毒株，Nsp2、ORF5、ORF6、ORF7基因序列间核苷酸及其推导氨基酸序列的同源性分别是90.1%-100%和91.6%-100%、83.3%-100%和81.1%-100%、96.6%-100%和96.0%-100%、86.0%-100%和87.9%-100%。4个猪场的PRRSV流行毒株，其Nsp2、ORF5、ORF6、ORF7基因的平均进化速率分别为4.3010</w:t>
      </w:r>
      <w:r w:rsidRPr="005B4D1E">
        <w:rPr>
          <w:rFonts w:ascii="宋体" w:eastAsia="宋体" w:hAnsi="宋体" w:hint="eastAsia"/>
          <w:sz w:val="21"/>
          <w:szCs w:val="21"/>
          <w:vertAlign w:val="superscript"/>
        </w:rPr>
        <w:t>-4</w:t>
      </w:r>
      <w:r w:rsidRPr="005B4D1E">
        <w:rPr>
          <w:rFonts w:ascii="宋体" w:eastAsia="宋体" w:hAnsi="宋体" w:hint="eastAsia"/>
          <w:sz w:val="21"/>
          <w:szCs w:val="21"/>
        </w:rPr>
        <w:t>、4.09</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-5</w:t>
      </w:r>
      <w:r w:rsidRPr="005B4D1E">
        <w:rPr>
          <w:rFonts w:ascii="宋体" w:eastAsia="宋体" w:hAnsi="宋体" w:hint="eastAsia"/>
          <w:sz w:val="21"/>
          <w:szCs w:val="21"/>
        </w:rPr>
        <w:t>、2.65</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、4.89</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 xml:space="preserve"> substitutions/site/day，表明在4个基因中，Nsp2基因最容易发生变异，其次是ORF5基因，然后是ORF7基因，而ORF6基因最稳定。非免疫猪场Nsp2、ORF5、ORF6、ORF7基因的平均进化速率为4.18</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-4</w:t>
      </w:r>
      <w:r w:rsidRPr="005B4D1E">
        <w:rPr>
          <w:rFonts w:ascii="宋体" w:eastAsia="宋体" w:hAnsi="宋体" w:hint="eastAsia"/>
          <w:sz w:val="21"/>
          <w:szCs w:val="21"/>
        </w:rPr>
        <w:t>、3.98</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-5</w:t>
      </w:r>
      <w:r w:rsidRPr="005B4D1E">
        <w:rPr>
          <w:rFonts w:ascii="宋体" w:eastAsia="宋体" w:hAnsi="宋体" w:hint="eastAsia"/>
          <w:sz w:val="21"/>
          <w:szCs w:val="21"/>
        </w:rPr>
        <w:t>、2.59</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和4.84</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substitutions/site/day，免疫猪场Nsp2、ORF5、ORF6、ORF7基因的平均进化速率为4.42</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-4</w:t>
      </w:r>
      <w:r w:rsidRPr="005B4D1E">
        <w:rPr>
          <w:rFonts w:ascii="宋体" w:eastAsia="宋体" w:hAnsi="宋体" w:hint="eastAsia"/>
          <w:sz w:val="21"/>
          <w:szCs w:val="21"/>
        </w:rPr>
        <w:t>、4.20</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-5</w:t>
      </w:r>
      <w:r w:rsidRPr="005B4D1E">
        <w:rPr>
          <w:rFonts w:ascii="宋体" w:eastAsia="宋体" w:hAnsi="宋体" w:hint="eastAsia"/>
          <w:sz w:val="21"/>
          <w:szCs w:val="21"/>
        </w:rPr>
        <w:t>、2.71</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和4.93</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 xml:space="preserve"> substitutions/site/day，表明免疫猪场中的PRRSV流行毒株与非免疫猪场中的PRRSV流行毒株相比，Nsp2、ORF5、ORF6、ORF7基因的进化速率要快。本研究分析了HP-PRRSV田间流行毒株在免疫压力下的遗传进化速率，为掌握广西HP-PRRSV的分子流行病学规律、为该病的综合防控提供了基础数据及理论数据。</w:t>
      </w:r>
    </w:p>
    <w:p w:rsidR="009D14A5" w:rsidRPr="005B4D1E" w:rsidRDefault="009D14A5" w:rsidP="00206742">
      <w:pPr>
        <w:pStyle w:val="2"/>
      </w:pPr>
      <w:bookmarkStart w:id="73" w:name="_Toc405816278"/>
      <w:r w:rsidRPr="005B4D1E">
        <w:rPr>
          <w:rFonts w:hint="eastAsia"/>
        </w:rPr>
        <w:t>PRRSV</w:t>
      </w:r>
      <w:r w:rsidRPr="005B4D1E">
        <w:rPr>
          <w:rFonts w:hint="eastAsia"/>
        </w:rPr>
        <w:t>基因序列整理及上传</w:t>
      </w:r>
      <w:r w:rsidRPr="005B4D1E">
        <w:rPr>
          <w:rFonts w:hint="eastAsia"/>
        </w:rPr>
        <w:t>GenBank</w:t>
      </w:r>
      <w:bookmarkEnd w:id="73"/>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在研究中获得的病毒基因序列上传GenBank。其中，PRRSV全基因组序列3个(JQ955657、JQ955658、JX912249)（表26）、Nsp2基因序列124个(JX046216-JX046248、KC618218-KC618308)（表27）、ORF5基因序列170个(JX046249-JX046321、KC617949-KC617974，KC618027-KC618053、KC618108-KC618127、KC618170-KC618193)（表28）、ORF6基因序列144个(KC617975-KC618000、KC618054-KC618080、KC618128-KC618148、KC618194-KC618217、KC790110-KC790155)(表29)、ORF7基因序列177个(JX046322-JX046407、KC617925-KC617948、KC618001-KC618026、KC618081-KC618107、KC618149-KC618169)(表30)。</w:t>
      </w:r>
    </w:p>
    <w:p w:rsidR="009D14A5" w:rsidRPr="005B4D1E" w:rsidRDefault="009D14A5" w:rsidP="00206742">
      <w:pPr>
        <w:pStyle w:val="1"/>
      </w:pPr>
      <w:bookmarkStart w:id="74" w:name="_Toc405816279"/>
      <w:r w:rsidRPr="005B4D1E">
        <w:rPr>
          <w:rFonts w:hint="eastAsia"/>
        </w:rPr>
        <w:lastRenderedPageBreak/>
        <w:t>PRRSV</w:t>
      </w:r>
      <w:r w:rsidRPr="005B4D1E">
        <w:rPr>
          <w:rFonts w:hint="eastAsia"/>
        </w:rPr>
        <w:t>感染及疫苗免疫对机体免疫功能影响的研究</w:t>
      </w:r>
      <w:bookmarkEnd w:id="74"/>
    </w:p>
    <w:p w:rsidR="009D14A5" w:rsidRPr="005B4D1E" w:rsidRDefault="009D14A5" w:rsidP="00206742">
      <w:pPr>
        <w:pStyle w:val="2"/>
      </w:pPr>
      <w:bookmarkStart w:id="75" w:name="_Toc405816280"/>
      <w:r w:rsidRPr="005B4D1E">
        <w:rPr>
          <w:rFonts w:hint="eastAsia"/>
        </w:rPr>
        <w:t>PRRSV</w:t>
      </w:r>
      <w:r w:rsidRPr="005B4D1E">
        <w:rPr>
          <w:rFonts w:hint="eastAsia"/>
        </w:rPr>
        <w:t>感染对猪</w:t>
      </w:r>
      <w:r w:rsidRPr="005B4D1E">
        <w:rPr>
          <w:rFonts w:hint="eastAsia"/>
        </w:rPr>
        <w:t>Th1</w:t>
      </w:r>
      <w:r w:rsidRPr="005B4D1E">
        <w:rPr>
          <w:rFonts w:hint="eastAsia"/>
        </w:rPr>
        <w:t>型、</w:t>
      </w:r>
      <w:r w:rsidRPr="005B4D1E">
        <w:rPr>
          <w:rFonts w:hint="eastAsia"/>
        </w:rPr>
        <w:t>Th2</w:t>
      </w:r>
      <w:r w:rsidRPr="005B4D1E">
        <w:rPr>
          <w:rFonts w:hint="eastAsia"/>
        </w:rPr>
        <w:t>型及凋亡细胞因子</w:t>
      </w:r>
      <w:r w:rsidRPr="005B4D1E">
        <w:rPr>
          <w:rFonts w:hint="eastAsia"/>
        </w:rPr>
        <w:t>mRNA</w:t>
      </w:r>
      <w:r w:rsidRPr="005B4D1E">
        <w:rPr>
          <w:rFonts w:hint="eastAsia"/>
        </w:rPr>
        <w:t>表达水平的影响</w:t>
      </w:r>
      <w:r w:rsidR="00206742">
        <w:rPr>
          <w:rFonts w:hint="eastAsia"/>
        </w:rPr>
        <w:t>研究</w:t>
      </w:r>
      <w:bookmarkEnd w:id="75"/>
    </w:p>
    <w:p w:rsidR="009D14A5" w:rsidRPr="005B4D1E" w:rsidRDefault="009D14A5" w:rsidP="005B4D1E">
      <w:pPr>
        <w:tabs>
          <w:tab w:val="left" w:pos="7597"/>
        </w:tabs>
        <w:wordWrap w:val="0"/>
        <w:spacing w:line="360" w:lineRule="auto"/>
        <w:ind w:firstLineChars="200" w:firstLine="420"/>
        <w:rPr>
          <w:rFonts w:ascii="宋体" w:eastAsia="宋体" w:hAnsi="宋体"/>
          <w:sz w:val="21"/>
          <w:szCs w:val="21"/>
        </w:rPr>
      </w:pPr>
      <w:r w:rsidRPr="005B4D1E">
        <w:rPr>
          <w:rFonts w:ascii="宋体" w:eastAsia="宋体" w:hAnsi="宋体" w:hint="eastAsia"/>
          <w:sz w:val="21"/>
          <w:szCs w:val="21"/>
        </w:rPr>
        <w:t>引物设计与合成：根据GenBank上发表的猪Th1型细胞因子IL-2、IL-12p40、IFN-</w:t>
      </w:r>
      <w:r w:rsidRPr="005B4D1E">
        <w:rPr>
          <w:rFonts w:ascii="宋体" w:eastAsia="宋体" w:hAnsi="宋体"/>
          <w:sz w:val="21"/>
          <w:szCs w:val="21"/>
        </w:rPr>
        <w:t>γ</w:t>
      </w:r>
      <w:r w:rsidRPr="005B4D1E">
        <w:rPr>
          <w:rFonts w:ascii="宋体" w:eastAsia="宋体" w:hAnsi="宋体" w:hint="eastAsia"/>
          <w:sz w:val="21"/>
          <w:szCs w:val="21"/>
        </w:rPr>
        <w:t>、Th2型细胞因子IL-4、IL-6、IL-10、凋亡细胞因子Fas、FasL、TNFR1、TNF-</w:t>
      </w:r>
      <w:r w:rsidRPr="005B4D1E">
        <w:rPr>
          <w:rFonts w:ascii="宋体" w:eastAsia="宋体" w:hAnsi="宋体" w:cs="Arial"/>
          <w:sz w:val="21"/>
          <w:szCs w:val="21"/>
        </w:rPr>
        <w:t>α</w:t>
      </w:r>
      <w:r w:rsidRPr="005B4D1E">
        <w:rPr>
          <w:rFonts w:ascii="宋体" w:eastAsia="宋体" w:hAnsi="宋体" w:hint="eastAsia"/>
          <w:sz w:val="21"/>
          <w:szCs w:val="21"/>
        </w:rPr>
        <w:t>以及管家基因</w:t>
      </w:r>
      <w:r w:rsidRPr="005B4D1E">
        <w:rPr>
          <w:rFonts w:ascii="宋体" w:eastAsia="宋体" w:hAnsi="宋体" w:cs="Arial"/>
          <w:sz w:val="21"/>
          <w:szCs w:val="21"/>
        </w:rPr>
        <w:t>β</w:t>
      </w:r>
      <w:r w:rsidRPr="005B4D1E">
        <w:rPr>
          <w:rFonts w:ascii="宋体" w:eastAsia="宋体" w:hAnsi="宋体" w:hint="eastAsia"/>
          <w:sz w:val="21"/>
          <w:szCs w:val="21"/>
        </w:rPr>
        <w:t>-actin基因序列，设计特异性引物（见表31），用于扩增相应的基因片段。</w:t>
      </w:r>
    </w:p>
    <w:p w:rsidR="009D14A5" w:rsidRPr="005B4D1E" w:rsidRDefault="009D14A5" w:rsidP="009D14A5">
      <w:pPr>
        <w:tabs>
          <w:tab w:val="left" w:pos="7597"/>
        </w:tabs>
        <w:wordWrap w:val="0"/>
        <w:spacing w:line="360" w:lineRule="auto"/>
        <w:rPr>
          <w:rFonts w:ascii="宋体" w:eastAsia="宋体" w:hAnsi="宋体"/>
          <w:sz w:val="21"/>
          <w:szCs w:val="21"/>
        </w:rPr>
      </w:pPr>
    </w:p>
    <w:p w:rsidR="009D14A5" w:rsidRPr="005B4D1E" w:rsidRDefault="009D14A5" w:rsidP="00B03D18">
      <w:pPr>
        <w:pStyle w:val="a6"/>
        <w:spacing w:before="156"/>
      </w:pPr>
      <w:bookmarkStart w:id="76" w:name="_Toc405816433"/>
      <w:r w:rsidRPr="005B4D1E">
        <w:rPr>
          <w:rFonts w:hint="eastAsia"/>
        </w:rPr>
        <w:t>表</w:t>
      </w:r>
      <w:r w:rsidR="00B03D18">
        <w:rPr>
          <w:rFonts w:hint="eastAsia"/>
        </w:rPr>
        <w:t xml:space="preserve">31 </w:t>
      </w:r>
      <w:r w:rsidRPr="005B4D1E">
        <w:rPr>
          <w:rFonts w:hint="eastAsia"/>
        </w:rPr>
        <w:t>扩增</w:t>
      </w:r>
      <w:r w:rsidRPr="005B4D1E">
        <w:rPr>
          <w:rFonts w:hint="eastAsia"/>
        </w:rPr>
        <w:t>Th1</w:t>
      </w:r>
      <w:r w:rsidRPr="005B4D1E">
        <w:rPr>
          <w:rFonts w:hint="eastAsia"/>
        </w:rPr>
        <w:t>型细胞因子和管家基因</w:t>
      </w:r>
      <w:r w:rsidRPr="005B4D1E">
        <w:rPr>
          <w:rFonts w:cs="Arial"/>
        </w:rPr>
        <w:t>β</w:t>
      </w:r>
      <w:r w:rsidRPr="005B4D1E">
        <w:rPr>
          <w:rFonts w:hint="eastAsia"/>
        </w:rPr>
        <w:t>-actin</w:t>
      </w:r>
      <w:r w:rsidRPr="005B4D1E">
        <w:rPr>
          <w:rFonts w:hint="eastAsia"/>
        </w:rPr>
        <w:t>部分基因片段的引物和</w:t>
      </w:r>
      <w:r w:rsidRPr="005B4D1E">
        <w:rPr>
          <w:rFonts w:hint="eastAsia"/>
        </w:rPr>
        <w:t>PCR</w:t>
      </w:r>
      <w:r w:rsidRPr="005B4D1E">
        <w:rPr>
          <w:rFonts w:hint="eastAsia"/>
        </w:rPr>
        <w:t>条件</w:t>
      </w:r>
      <w:bookmarkEnd w:id="76"/>
    </w:p>
    <w:p w:rsidR="009D14A5" w:rsidRPr="005B4D1E" w:rsidRDefault="009D14A5" w:rsidP="009D14A5">
      <w:pPr>
        <w:tabs>
          <w:tab w:val="left" w:pos="7597"/>
        </w:tabs>
        <w:wordWrap w:val="0"/>
        <w:spacing w:line="360" w:lineRule="auto"/>
        <w:jc w:val="center"/>
        <w:rPr>
          <w:rFonts w:ascii="宋体" w:eastAsia="宋体" w:hAnsi="宋体"/>
          <w:b/>
          <w:bCs/>
          <w:sz w:val="21"/>
          <w:szCs w:val="21"/>
        </w:rPr>
      </w:pPr>
      <w:r w:rsidRPr="005B4D1E">
        <w:rPr>
          <w:rFonts w:ascii="宋体" w:eastAsia="宋体" w:hAnsi="宋体"/>
          <w:noProof/>
          <w:sz w:val="21"/>
          <w:szCs w:val="21"/>
        </w:rPr>
        <w:drawing>
          <wp:inline distT="0" distB="0" distL="0" distR="0">
            <wp:extent cx="5270500" cy="4114800"/>
            <wp:effectExtent l="19050" t="0" r="6350" b="0"/>
            <wp:docPr id="61"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70" cstate="print"/>
                    <a:srcRect/>
                    <a:stretch>
                      <a:fillRect/>
                    </a:stretch>
                  </pic:blipFill>
                  <pic:spPr bwMode="auto">
                    <a:xfrm>
                      <a:off x="0" y="0"/>
                      <a:ext cx="5270500" cy="4114800"/>
                    </a:xfrm>
                    <a:prstGeom prst="rect">
                      <a:avLst/>
                    </a:prstGeom>
                    <a:noFill/>
                    <a:ln w="9525">
                      <a:noFill/>
                      <a:miter lim="800000"/>
                      <a:headEnd/>
                      <a:tailEnd/>
                    </a:ln>
                  </pic:spPr>
                </pic:pic>
              </a:graphicData>
            </a:graphic>
          </wp:inline>
        </w:drawing>
      </w:r>
    </w:p>
    <w:p w:rsidR="009D14A5" w:rsidRPr="005B4D1E" w:rsidRDefault="009D14A5" w:rsidP="005B4D1E">
      <w:pPr>
        <w:tabs>
          <w:tab w:val="left" w:pos="7597"/>
        </w:tabs>
        <w:wordWrap w:val="0"/>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重组质粒标准品的制备：</w:t>
      </w:r>
      <w:r w:rsidRPr="005B4D1E">
        <w:rPr>
          <w:rFonts w:ascii="宋体" w:eastAsia="宋体" w:hAnsi="宋体" w:hint="eastAsia"/>
          <w:sz w:val="21"/>
          <w:szCs w:val="21"/>
        </w:rPr>
        <w:t>采取健康仔猪血液，分离PBMC,用TRIzol Reagent提取总RNA，反转录获得cDNA。20</w:t>
      </w:r>
      <w:r w:rsidRPr="005B4D1E">
        <w:rPr>
          <w:rFonts w:ascii="宋体" w:eastAsia="宋体" w:hAnsi="宋体"/>
          <w:sz w:val="21"/>
          <w:szCs w:val="21"/>
        </w:rPr>
        <w:t>µ</w:t>
      </w:r>
      <w:r w:rsidRPr="005B4D1E">
        <w:rPr>
          <w:rFonts w:ascii="宋体" w:eastAsia="宋体" w:hAnsi="宋体" w:hint="eastAsia"/>
          <w:sz w:val="21"/>
          <w:szCs w:val="21"/>
        </w:rPr>
        <w:t>L反转录体系和反应参数如下：取2.0</w:t>
      </w:r>
      <w:r w:rsidRPr="005B4D1E">
        <w:rPr>
          <w:rFonts w:ascii="宋体" w:eastAsia="宋体" w:hAnsi="宋体"/>
          <w:sz w:val="21"/>
          <w:szCs w:val="21"/>
        </w:rPr>
        <w:t>µ</w:t>
      </w:r>
      <w:r w:rsidRPr="005B4D1E">
        <w:rPr>
          <w:rFonts w:ascii="宋体" w:eastAsia="宋体" w:hAnsi="宋体" w:hint="eastAsia"/>
          <w:sz w:val="21"/>
          <w:szCs w:val="21"/>
        </w:rPr>
        <w:t>L Oligo (dT)</w:t>
      </w:r>
      <w:r w:rsidRPr="005B4D1E">
        <w:rPr>
          <w:rFonts w:ascii="宋体" w:eastAsia="宋体" w:hAnsi="宋体" w:hint="eastAsia"/>
          <w:sz w:val="21"/>
          <w:szCs w:val="21"/>
          <w:vertAlign w:val="subscript"/>
        </w:rPr>
        <w:t>18</w:t>
      </w:r>
      <w:r w:rsidRPr="005B4D1E">
        <w:rPr>
          <w:rFonts w:ascii="宋体" w:eastAsia="宋体" w:hAnsi="宋体" w:hint="eastAsia"/>
          <w:sz w:val="21"/>
          <w:szCs w:val="21"/>
        </w:rPr>
        <w:t>(25pmol/</w:t>
      </w:r>
      <w:r w:rsidRPr="005B4D1E">
        <w:rPr>
          <w:rFonts w:ascii="宋体" w:eastAsia="宋体" w:hAnsi="宋体"/>
          <w:sz w:val="21"/>
          <w:szCs w:val="21"/>
        </w:rPr>
        <w:t>µ</w:t>
      </w:r>
      <w:r w:rsidRPr="005B4D1E">
        <w:rPr>
          <w:rFonts w:ascii="宋体" w:eastAsia="宋体" w:hAnsi="宋体" w:hint="eastAsia"/>
          <w:sz w:val="21"/>
          <w:szCs w:val="21"/>
        </w:rPr>
        <w:t>L)，加入10.0</w:t>
      </w:r>
      <w:r w:rsidRPr="005B4D1E">
        <w:rPr>
          <w:rFonts w:ascii="宋体" w:eastAsia="宋体" w:hAnsi="宋体"/>
          <w:sz w:val="21"/>
          <w:szCs w:val="21"/>
        </w:rPr>
        <w:t>µ</w:t>
      </w:r>
      <w:r w:rsidRPr="005B4D1E">
        <w:rPr>
          <w:rFonts w:ascii="宋体" w:eastAsia="宋体" w:hAnsi="宋体" w:hint="eastAsia"/>
          <w:sz w:val="21"/>
          <w:szCs w:val="21"/>
        </w:rPr>
        <w:t>L总RNA，</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10min，冰浴5min后，加入4.0</w:t>
      </w:r>
      <w:r w:rsidRPr="005B4D1E">
        <w:rPr>
          <w:rFonts w:ascii="宋体" w:eastAsia="宋体" w:hAnsi="宋体"/>
          <w:sz w:val="21"/>
          <w:szCs w:val="21"/>
        </w:rPr>
        <w:t>µ</w:t>
      </w:r>
      <w:r w:rsidRPr="005B4D1E">
        <w:rPr>
          <w:rFonts w:ascii="宋体" w:eastAsia="宋体" w:hAnsi="宋体" w:hint="eastAsia"/>
          <w:sz w:val="21"/>
          <w:szCs w:val="21"/>
        </w:rPr>
        <w:t>L5</w:t>
      </w:r>
      <w:r w:rsidRPr="005B4D1E">
        <w:rPr>
          <w:rFonts w:ascii="宋体" w:eastAsia="宋体" w:hAnsi="宋体" w:cs="Arial"/>
          <w:sz w:val="21"/>
          <w:szCs w:val="21"/>
        </w:rPr>
        <w:t>×</w:t>
      </w:r>
      <w:r w:rsidRPr="005B4D1E">
        <w:rPr>
          <w:rFonts w:ascii="宋体" w:eastAsia="宋体" w:hAnsi="宋体" w:hint="eastAsia"/>
          <w:sz w:val="21"/>
          <w:szCs w:val="21"/>
        </w:rPr>
        <w:t>反转录缓冲液、2.0</w:t>
      </w:r>
      <w:r w:rsidRPr="005B4D1E">
        <w:rPr>
          <w:rFonts w:ascii="宋体" w:eastAsia="宋体" w:hAnsi="宋体"/>
          <w:sz w:val="21"/>
          <w:szCs w:val="21"/>
        </w:rPr>
        <w:t>µ</w:t>
      </w:r>
      <w:r w:rsidRPr="005B4D1E">
        <w:rPr>
          <w:rFonts w:ascii="宋体" w:eastAsia="宋体" w:hAnsi="宋体" w:hint="eastAsia"/>
          <w:sz w:val="21"/>
          <w:szCs w:val="21"/>
        </w:rPr>
        <w:t>L dNTP(10mmol/L)、1.0</w:t>
      </w:r>
      <w:r w:rsidRPr="005B4D1E">
        <w:rPr>
          <w:rFonts w:ascii="宋体" w:eastAsia="宋体" w:hAnsi="宋体"/>
          <w:sz w:val="21"/>
          <w:szCs w:val="21"/>
        </w:rPr>
        <w:t>µ</w:t>
      </w:r>
      <w:r w:rsidRPr="005B4D1E">
        <w:rPr>
          <w:rFonts w:ascii="宋体" w:eastAsia="宋体" w:hAnsi="宋体" w:hint="eastAsia"/>
          <w:sz w:val="21"/>
          <w:szCs w:val="21"/>
        </w:rPr>
        <w:t>L RNA酶抑制剂(30U/</w:t>
      </w:r>
      <w:r w:rsidRPr="005B4D1E">
        <w:rPr>
          <w:rFonts w:ascii="宋体" w:eastAsia="宋体" w:hAnsi="宋体"/>
          <w:sz w:val="21"/>
          <w:szCs w:val="21"/>
        </w:rPr>
        <w:t>µ</w:t>
      </w:r>
      <w:r w:rsidRPr="005B4D1E">
        <w:rPr>
          <w:rFonts w:ascii="宋体" w:eastAsia="宋体" w:hAnsi="宋体" w:hint="eastAsia"/>
          <w:sz w:val="21"/>
          <w:szCs w:val="21"/>
        </w:rPr>
        <w:t>L)、1.0</w:t>
      </w:r>
      <w:r w:rsidRPr="005B4D1E">
        <w:rPr>
          <w:rFonts w:ascii="宋体" w:eastAsia="宋体" w:hAnsi="宋体"/>
          <w:sz w:val="21"/>
          <w:szCs w:val="21"/>
        </w:rPr>
        <w:t>µ</w:t>
      </w:r>
      <w:r w:rsidRPr="005B4D1E">
        <w:rPr>
          <w:rFonts w:ascii="宋体" w:eastAsia="宋体" w:hAnsi="宋体" w:hint="eastAsia"/>
          <w:sz w:val="21"/>
          <w:szCs w:val="21"/>
        </w:rPr>
        <w:t>L AMV反转录酶(10U/</w:t>
      </w:r>
      <w:r w:rsidRPr="005B4D1E">
        <w:rPr>
          <w:rFonts w:ascii="宋体" w:eastAsia="宋体" w:hAnsi="宋体"/>
          <w:sz w:val="21"/>
          <w:szCs w:val="21"/>
        </w:rPr>
        <w:t>µ</w:t>
      </w:r>
      <w:r w:rsidRPr="005B4D1E">
        <w:rPr>
          <w:rFonts w:ascii="宋体" w:eastAsia="宋体" w:hAnsi="宋体" w:hint="eastAsia"/>
          <w:sz w:val="21"/>
          <w:szCs w:val="21"/>
        </w:rPr>
        <w:t>L)，</w:t>
      </w:r>
      <w:smartTag w:uri="urn:schemas-microsoft-com:office:smarttags" w:element="chmetcnv">
        <w:smartTagPr>
          <w:attr w:name="TCSC" w:val="0"/>
          <w:attr w:name="NumberType" w:val="1"/>
          <w:attr w:name="Negative" w:val="False"/>
          <w:attr w:name="HasSpace" w:val="False"/>
          <w:attr w:name="SourceValue" w:val="42"/>
          <w:attr w:name="UnitName" w:val="℃"/>
        </w:smartTagPr>
        <w:r w:rsidRPr="005B4D1E">
          <w:rPr>
            <w:rFonts w:ascii="宋体" w:eastAsia="宋体" w:hAnsi="宋体" w:hint="eastAsia"/>
            <w:sz w:val="21"/>
            <w:szCs w:val="21"/>
          </w:rPr>
          <w:t>42℃</w:t>
        </w:r>
      </w:smartTag>
      <w:r w:rsidRPr="005B4D1E">
        <w:rPr>
          <w:rFonts w:ascii="宋体" w:eastAsia="宋体" w:hAnsi="宋体" w:hint="eastAsia"/>
          <w:sz w:val="21"/>
          <w:szCs w:val="21"/>
        </w:rPr>
        <w:t>反转录2h，</w:t>
      </w:r>
      <w:smartTag w:uri="urn:schemas-microsoft-com:office:smarttags" w:element="chmetcnv">
        <w:smartTagPr>
          <w:attr w:name="TCSC" w:val="0"/>
          <w:attr w:name="NumberType" w:val="1"/>
          <w:attr w:name="Negative" w:val="False"/>
          <w:attr w:name="HasSpace" w:val="False"/>
          <w:attr w:name="SourceValue" w:val="95"/>
          <w:attr w:name="UnitName" w:val="℃"/>
        </w:smartTagPr>
        <w:r w:rsidRPr="005B4D1E">
          <w:rPr>
            <w:rFonts w:ascii="宋体" w:eastAsia="宋体" w:hAnsi="宋体" w:hint="eastAsia"/>
            <w:sz w:val="21"/>
            <w:szCs w:val="21"/>
          </w:rPr>
          <w:t>95℃</w:t>
        </w:r>
      </w:smartTag>
      <w:r w:rsidRPr="005B4D1E">
        <w:rPr>
          <w:rFonts w:ascii="宋体" w:eastAsia="宋体" w:hAnsi="宋体" w:hint="eastAsia"/>
          <w:sz w:val="21"/>
          <w:szCs w:val="21"/>
        </w:rPr>
        <w:t>5min灭活。以cDNA为模板，应用特异性引物（表31），进行PCR，扩增部分基因片段。50</w:t>
      </w:r>
      <w:r w:rsidRPr="005B4D1E">
        <w:rPr>
          <w:rFonts w:ascii="宋体" w:eastAsia="宋体" w:hAnsi="宋体"/>
          <w:sz w:val="21"/>
          <w:szCs w:val="21"/>
        </w:rPr>
        <w:t>µ</w:t>
      </w:r>
      <w:r w:rsidRPr="005B4D1E">
        <w:rPr>
          <w:rFonts w:ascii="宋体" w:eastAsia="宋体" w:hAnsi="宋体" w:hint="eastAsia"/>
          <w:sz w:val="21"/>
          <w:szCs w:val="21"/>
        </w:rPr>
        <w:t>L反应体系：5.0</w:t>
      </w:r>
      <w:r w:rsidRPr="005B4D1E">
        <w:rPr>
          <w:rFonts w:ascii="宋体" w:eastAsia="宋体" w:hAnsi="宋体"/>
          <w:sz w:val="21"/>
          <w:szCs w:val="21"/>
        </w:rPr>
        <w:t>µ</w:t>
      </w:r>
      <w:r w:rsidRPr="005B4D1E">
        <w:rPr>
          <w:rFonts w:ascii="宋体" w:eastAsia="宋体" w:hAnsi="宋体" w:hint="eastAsia"/>
          <w:sz w:val="21"/>
          <w:szCs w:val="21"/>
        </w:rPr>
        <w:t>L 10</w:t>
      </w:r>
      <w:r w:rsidRPr="005B4D1E">
        <w:rPr>
          <w:rFonts w:ascii="宋体" w:eastAsia="宋体" w:hAnsi="宋体" w:cs="Arial"/>
          <w:sz w:val="21"/>
          <w:szCs w:val="21"/>
        </w:rPr>
        <w:t>×</w:t>
      </w:r>
      <w:r w:rsidRPr="005B4D1E">
        <w:rPr>
          <w:rFonts w:ascii="宋体" w:eastAsia="宋体" w:hAnsi="宋体" w:hint="eastAsia"/>
          <w:sz w:val="21"/>
          <w:szCs w:val="21"/>
        </w:rPr>
        <w:t>缓冲液，4.0</w:t>
      </w:r>
      <w:r w:rsidRPr="005B4D1E">
        <w:rPr>
          <w:rFonts w:ascii="宋体" w:eastAsia="宋体" w:hAnsi="宋体"/>
          <w:sz w:val="21"/>
          <w:szCs w:val="21"/>
        </w:rPr>
        <w:t>µ</w:t>
      </w:r>
      <w:r w:rsidRPr="005B4D1E">
        <w:rPr>
          <w:rFonts w:ascii="宋体" w:eastAsia="宋体" w:hAnsi="宋体" w:hint="eastAsia"/>
          <w:sz w:val="21"/>
          <w:szCs w:val="21"/>
        </w:rPr>
        <w:t>L dNTP(2.5mmol/L)，上、下游引物(25pmol/</w:t>
      </w:r>
      <w:r w:rsidRPr="005B4D1E">
        <w:rPr>
          <w:rFonts w:ascii="宋体" w:eastAsia="宋体" w:hAnsi="宋体"/>
          <w:sz w:val="21"/>
          <w:szCs w:val="21"/>
        </w:rPr>
        <w:t>µ</w:t>
      </w:r>
      <w:r w:rsidRPr="005B4D1E">
        <w:rPr>
          <w:rFonts w:ascii="宋体" w:eastAsia="宋体" w:hAnsi="宋体" w:hint="eastAsia"/>
          <w:sz w:val="21"/>
          <w:szCs w:val="21"/>
        </w:rPr>
        <w:t>L)各1.0</w:t>
      </w:r>
      <w:r w:rsidRPr="005B4D1E">
        <w:rPr>
          <w:rFonts w:ascii="宋体" w:eastAsia="宋体" w:hAnsi="宋体"/>
          <w:sz w:val="21"/>
          <w:szCs w:val="21"/>
        </w:rPr>
        <w:t>µ</w:t>
      </w:r>
      <w:r w:rsidRPr="005B4D1E">
        <w:rPr>
          <w:rFonts w:ascii="宋体" w:eastAsia="宋体" w:hAnsi="宋体" w:hint="eastAsia"/>
          <w:sz w:val="21"/>
          <w:szCs w:val="21"/>
        </w:rPr>
        <w:t>L，cDNA模板2</w:t>
      </w:r>
      <w:r w:rsidRPr="005B4D1E">
        <w:rPr>
          <w:rFonts w:ascii="宋体" w:eastAsia="宋体" w:hAnsi="宋体"/>
          <w:sz w:val="21"/>
          <w:szCs w:val="21"/>
        </w:rPr>
        <w:t>µ</w:t>
      </w:r>
      <w:r w:rsidRPr="005B4D1E">
        <w:rPr>
          <w:rFonts w:ascii="宋体" w:eastAsia="宋体" w:hAnsi="宋体" w:hint="eastAsia"/>
          <w:sz w:val="21"/>
          <w:szCs w:val="21"/>
        </w:rPr>
        <w:t>L，Taq DNA聚合酶(5U/</w:t>
      </w:r>
      <w:r w:rsidRPr="005B4D1E">
        <w:rPr>
          <w:rFonts w:ascii="宋体" w:eastAsia="宋体" w:hAnsi="宋体"/>
          <w:sz w:val="21"/>
          <w:szCs w:val="21"/>
        </w:rPr>
        <w:t>µ</w:t>
      </w:r>
      <w:r w:rsidRPr="005B4D1E">
        <w:rPr>
          <w:rFonts w:ascii="宋体" w:eastAsia="宋体" w:hAnsi="宋体" w:hint="eastAsia"/>
          <w:sz w:val="21"/>
          <w:szCs w:val="21"/>
        </w:rPr>
        <w:t>L)1.0</w:t>
      </w:r>
      <w:r w:rsidRPr="005B4D1E">
        <w:rPr>
          <w:rFonts w:ascii="宋体" w:eastAsia="宋体" w:hAnsi="宋体"/>
          <w:sz w:val="21"/>
          <w:szCs w:val="21"/>
        </w:rPr>
        <w:t>µ</w:t>
      </w:r>
      <w:r w:rsidRPr="005B4D1E">
        <w:rPr>
          <w:rFonts w:ascii="宋体" w:eastAsia="宋体" w:hAnsi="宋体" w:hint="eastAsia"/>
          <w:sz w:val="21"/>
          <w:szCs w:val="21"/>
        </w:rPr>
        <w:t>L，ddH</w:t>
      </w:r>
      <w:r w:rsidRPr="005B4D1E">
        <w:rPr>
          <w:rFonts w:ascii="宋体" w:eastAsia="宋体" w:hAnsi="宋体" w:hint="eastAsia"/>
          <w:sz w:val="21"/>
          <w:szCs w:val="21"/>
          <w:vertAlign w:val="subscript"/>
        </w:rPr>
        <w:t>2</w:t>
      </w:r>
      <w:r w:rsidRPr="005B4D1E">
        <w:rPr>
          <w:rFonts w:ascii="宋体" w:eastAsia="宋体" w:hAnsi="宋体" w:hint="eastAsia"/>
          <w:sz w:val="21"/>
          <w:szCs w:val="21"/>
        </w:rPr>
        <w:t>O 36.0</w:t>
      </w:r>
      <w:r w:rsidRPr="005B4D1E">
        <w:rPr>
          <w:rFonts w:ascii="宋体" w:eastAsia="宋体" w:hAnsi="宋体"/>
          <w:sz w:val="21"/>
          <w:szCs w:val="21"/>
        </w:rPr>
        <w:t>µ</w:t>
      </w:r>
      <w:r w:rsidRPr="005B4D1E">
        <w:rPr>
          <w:rFonts w:ascii="宋体" w:eastAsia="宋体" w:hAnsi="宋体" w:hint="eastAsia"/>
          <w:sz w:val="21"/>
          <w:szCs w:val="21"/>
        </w:rPr>
        <w:t>L。PCR反应参数：</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w:t>
        </w:r>
        <w:r w:rsidRPr="005B4D1E">
          <w:rPr>
            <w:rFonts w:ascii="宋体" w:eastAsia="宋体" w:hAnsi="宋体" w:hint="eastAsia"/>
            <w:sz w:val="21"/>
            <w:szCs w:val="21"/>
          </w:rPr>
          <w:lastRenderedPageBreak/>
          <w:t>4℃</w:t>
        </w:r>
      </w:smartTag>
      <w:r w:rsidRPr="005B4D1E">
        <w:rPr>
          <w:rFonts w:ascii="宋体" w:eastAsia="宋体" w:hAnsi="宋体" w:hint="eastAsia"/>
          <w:sz w:val="21"/>
          <w:szCs w:val="21"/>
        </w:rPr>
        <w:t>5min，</w:t>
      </w:r>
      <w:smartTag w:uri="urn:schemas-microsoft-com:office:smarttags" w:element="chmetcnv">
        <w:smartTagPr>
          <w:attr w:name="TCSC" w:val="0"/>
          <w:attr w:name="NumberType" w:val="1"/>
          <w:attr w:name="Negative" w:val="False"/>
          <w:attr w:name="HasSpace" w:val="False"/>
          <w:attr w:name="SourceValue" w:val="94"/>
          <w:attr w:name="UnitName" w:val="℃"/>
        </w:smartTagPr>
        <w:r w:rsidRPr="005B4D1E">
          <w:rPr>
            <w:rFonts w:ascii="宋体" w:eastAsia="宋体" w:hAnsi="宋体" w:hint="eastAsia"/>
            <w:sz w:val="21"/>
            <w:szCs w:val="21"/>
          </w:rPr>
          <w:t>94℃</w:t>
        </w:r>
      </w:smartTag>
      <w:r w:rsidRPr="005B4D1E">
        <w:rPr>
          <w:rFonts w:ascii="宋体" w:eastAsia="宋体" w:hAnsi="宋体" w:hint="eastAsia"/>
          <w:sz w:val="21"/>
          <w:szCs w:val="21"/>
        </w:rPr>
        <w:t>45s，50℃～</w:t>
      </w:r>
      <w:smartTag w:uri="urn:schemas-microsoft-com:office:smarttags" w:element="chmetcnv">
        <w:smartTagPr>
          <w:attr w:name="TCSC" w:val="0"/>
          <w:attr w:name="NumberType" w:val="1"/>
          <w:attr w:name="Negative" w:val="False"/>
          <w:attr w:name="HasSpace" w:val="False"/>
          <w:attr w:name="SourceValue" w:val="62"/>
          <w:attr w:name="UnitName" w:val="℃"/>
        </w:smartTagPr>
        <w:r w:rsidRPr="005B4D1E">
          <w:rPr>
            <w:rFonts w:ascii="宋体" w:eastAsia="宋体" w:hAnsi="宋体" w:hint="eastAsia"/>
            <w:sz w:val="21"/>
            <w:szCs w:val="21"/>
          </w:rPr>
          <w:t>62℃</w:t>
        </w:r>
      </w:smartTag>
      <w:r w:rsidRPr="005B4D1E">
        <w:rPr>
          <w:rFonts w:ascii="宋体" w:eastAsia="宋体" w:hAnsi="宋体" w:hint="eastAsia"/>
          <w:sz w:val="21"/>
          <w:szCs w:val="21"/>
        </w:rPr>
        <w:t>45s，</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45s，共35个循环；</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10min。用胶回收试剂盒回收PCR产物后，按照说明书用T4连接酶将目的片段连接到pGEM-T easy载体，并转化E.coli DH-5</w:t>
      </w:r>
      <w:r w:rsidRPr="005B4D1E">
        <w:rPr>
          <w:rFonts w:ascii="宋体" w:eastAsia="宋体" w:hAnsi="宋体" w:cs="Arial"/>
          <w:sz w:val="21"/>
          <w:szCs w:val="21"/>
        </w:rPr>
        <w:t>α</w:t>
      </w:r>
      <w:r w:rsidRPr="005B4D1E">
        <w:rPr>
          <w:rFonts w:ascii="宋体" w:eastAsia="宋体" w:hAnsi="宋体" w:hint="eastAsia"/>
          <w:sz w:val="21"/>
          <w:szCs w:val="21"/>
        </w:rPr>
        <w:t>株感受态细胞。涂板后，挑取阳性克隆增菌培养，用质粒抽提试剂盒提取质粒，进行PCR、酶切及测序鉴定。经鉴定正确的阳性质粒作为标准品备用（见图34）。</w:t>
      </w:r>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4779010" cy="4399280"/>
            <wp:effectExtent l="19050" t="0" r="2540" b="0"/>
            <wp:docPr id="6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71" cstate="print"/>
                    <a:srcRect/>
                    <a:stretch>
                      <a:fillRect/>
                    </a:stretch>
                  </pic:blipFill>
                  <pic:spPr bwMode="auto">
                    <a:xfrm>
                      <a:off x="0" y="0"/>
                      <a:ext cx="4779010" cy="4399280"/>
                    </a:xfrm>
                    <a:prstGeom prst="rect">
                      <a:avLst/>
                    </a:prstGeom>
                    <a:noFill/>
                    <a:ln w="9525">
                      <a:noFill/>
                      <a:miter lim="800000"/>
                      <a:headEnd/>
                      <a:tailEnd/>
                    </a:ln>
                  </pic:spPr>
                </pic:pic>
              </a:graphicData>
            </a:graphic>
          </wp:inline>
        </w:drawing>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M：DNA标准DL3000；1：质粒的PCR产物；2：质粒的酶切产物</w:t>
      </w:r>
    </w:p>
    <w:p w:rsidR="009D14A5" w:rsidRPr="005B4D1E" w:rsidRDefault="009D14A5" w:rsidP="00B03D18">
      <w:pPr>
        <w:pStyle w:val="a5"/>
        <w:spacing w:after="156"/>
      </w:pPr>
      <w:bookmarkStart w:id="77" w:name="_Toc405816338"/>
      <w:r w:rsidRPr="005B4D1E">
        <w:rPr>
          <w:rFonts w:hint="eastAsia"/>
        </w:rPr>
        <w:t>图</w:t>
      </w:r>
      <w:r w:rsidR="00B03D18">
        <w:rPr>
          <w:rFonts w:hint="eastAsia"/>
        </w:rPr>
        <w:t xml:space="preserve">34 </w:t>
      </w:r>
      <w:r w:rsidRPr="005B4D1E">
        <w:rPr>
          <w:rFonts w:hint="eastAsia"/>
        </w:rPr>
        <w:t>Thl(A)</w:t>
      </w:r>
      <w:r w:rsidRPr="005B4D1E">
        <w:rPr>
          <w:rFonts w:hint="eastAsia"/>
        </w:rPr>
        <w:t>型、</w:t>
      </w:r>
      <w:r w:rsidRPr="005B4D1E">
        <w:rPr>
          <w:rFonts w:hint="eastAsia"/>
        </w:rPr>
        <w:t>Th2(B)</w:t>
      </w:r>
      <w:r w:rsidRPr="005B4D1E">
        <w:rPr>
          <w:rFonts w:hint="eastAsia"/>
        </w:rPr>
        <w:t>型、凋亡</w:t>
      </w:r>
      <w:r w:rsidRPr="005B4D1E">
        <w:rPr>
          <w:rFonts w:hint="eastAsia"/>
        </w:rPr>
        <w:t>(C)</w:t>
      </w:r>
      <w:r w:rsidRPr="005B4D1E">
        <w:rPr>
          <w:rFonts w:hint="eastAsia"/>
        </w:rPr>
        <w:t>细胞因子及</w:t>
      </w:r>
      <w:r w:rsidRPr="005B4D1E">
        <w:rPr>
          <w:rFonts w:cs="Arial"/>
        </w:rPr>
        <w:t>β</w:t>
      </w:r>
      <w:r w:rsidRPr="005B4D1E">
        <w:rPr>
          <w:rFonts w:hint="eastAsia"/>
        </w:rPr>
        <w:t>-actin</w:t>
      </w:r>
      <w:r w:rsidRPr="005B4D1E">
        <w:rPr>
          <w:rFonts w:hint="eastAsia"/>
        </w:rPr>
        <w:t>基因的重组质粒鉴定</w:t>
      </w:r>
      <w:bookmarkEnd w:id="77"/>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 xml:space="preserve"> 反应条件的优化：</w:t>
      </w:r>
      <w:r w:rsidRPr="005B4D1E">
        <w:rPr>
          <w:rFonts w:ascii="宋体" w:eastAsia="宋体" w:hAnsi="宋体" w:hint="eastAsia"/>
          <w:sz w:val="21"/>
          <w:szCs w:val="21"/>
        </w:rPr>
        <w:t>采用SYBR Green I染料法，在Opticon</w:t>
      </w:r>
      <w:r w:rsidRPr="005B4D1E">
        <w:rPr>
          <w:rFonts w:ascii="宋体" w:eastAsia="宋体" w:hAnsi="宋体" w:hint="eastAsia"/>
          <w:sz w:val="21"/>
          <w:szCs w:val="21"/>
          <w:vertAlign w:val="superscript"/>
        </w:rPr>
        <w:t xml:space="preserve">TM </w:t>
      </w:r>
      <w:r w:rsidRPr="005B4D1E">
        <w:rPr>
          <w:rFonts w:ascii="宋体" w:eastAsia="宋体" w:hAnsi="宋体" w:hint="eastAsia"/>
          <w:sz w:val="21"/>
          <w:szCs w:val="21"/>
        </w:rPr>
        <w:t>2型PCR仪上建立反应体系为20</w:t>
      </w:r>
      <w:r w:rsidRPr="005B4D1E">
        <w:rPr>
          <w:rFonts w:ascii="宋体" w:eastAsia="宋体" w:hAnsi="宋体"/>
          <w:sz w:val="21"/>
          <w:szCs w:val="21"/>
        </w:rPr>
        <w:t>µ</w:t>
      </w:r>
      <w:r w:rsidRPr="005B4D1E">
        <w:rPr>
          <w:rFonts w:ascii="宋体" w:eastAsia="宋体" w:hAnsi="宋体" w:hint="eastAsia"/>
          <w:sz w:val="21"/>
          <w:szCs w:val="21"/>
        </w:rPr>
        <w:t>L，以出现最小Ct值和最高荧光值，以及不出现非特异性扩增产物为标准，分别对模板浓度、退火温度和引物浓度进行优化。经优化，20</w:t>
      </w:r>
      <w:r w:rsidRPr="005B4D1E">
        <w:rPr>
          <w:rFonts w:ascii="宋体" w:eastAsia="宋体" w:hAnsi="宋体"/>
          <w:sz w:val="21"/>
          <w:szCs w:val="21"/>
        </w:rPr>
        <w:t>µ</w:t>
      </w:r>
      <w:r w:rsidRPr="005B4D1E">
        <w:rPr>
          <w:rFonts w:ascii="宋体" w:eastAsia="宋体" w:hAnsi="宋体" w:hint="eastAsia"/>
          <w:sz w:val="21"/>
          <w:szCs w:val="21"/>
        </w:rPr>
        <w:t>L反应体系为：SYBR</w:t>
      </w:r>
      <w:r w:rsidRPr="005B4D1E">
        <w:rPr>
          <w:rFonts w:ascii="宋体" w:eastAsia="宋体" w:hAnsi="宋体"/>
          <w:sz w:val="21"/>
          <w:szCs w:val="21"/>
          <w:vertAlign w:val="superscript"/>
        </w:rPr>
        <w:t>®</w:t>
      </w:r>
      <w:r w:rsidRPr="005B4D1E">
        <w:rPr>
          <w:rFonts w:ascii="宋体" w:eastAsia="宋体" w:hAnsi="宋体" w:hint="eastAsia"/>
          <w:sz w:val="21"/>
          <w:szCs w:val="21"/>
        </w:rPr>
        <w:t>Green Realtime PCR Master Mix 10</w:t>
      </w:r>
      <w:r w:rsidRPr="005B4D1E">
        <w:rPr>
          <w:rFonts w:ascii="宋体" w:eastAsia="宋体" w:hAnsi="宋体"/>
          <w:sz w:val="21"/>
          <w:szCs w:val="21"/>
        </w:rPr>
        <w:t>µ</w:t>
      </w:r>
      <w:r w:rsidRPr="005B4D1E">
        <w:rPr>
          <w:rFonts w:ascii="宋体" w:eastAsia="宋体" w:hAnsi="宋体" w:hint="eastAsia"/>
          <w:sz w:val="21"/>
          <w:szCs w:val="21"/>
        </w:rPr>
        <w:t>L，上、下游引物(25pmol/</w:t>
      </w:r>
      <w:r w:rsidRPr="005B4D1E">
        <w:rPr>
          <w:rFonts w:ascii="宋体" w:eastAsia="宋体" w:hAnsi="宋体"/>
          <w:sz w:val="21"/>
          <w:szCs w:val="21"/>
        </w:rPr>
        <w:t>µ</w:t>
      </w:r>
      <w:r w:rsidRPr="005B4D1E">
        <w:rPr>
          <w:rFonts w:ascii="宋体" w:eastAsia="宋体" w:hAnsi="宋体" w:hint="eastAsia"/>
          <w:sz w:val="21"/>
          <w:szCs w:val="21"/>
        </w:rPr>
        <w:t>L)各0.5</w:t>
      </w:r>
      <w:r w:rsidRPr="005B4D1E">
        <w:rPr>
          <w:rFonts w:ascii="宋体" w:eastAsia="宋体" w:hAnsi="宋体"/>
          <w:sz w:val="21"/>
          <w:szCs w:val="21"/>
        </w:rPr>
        <w:t>µ</w:t>
      </w:r>
      <w:r w:rsidRPr="005B4D1E">
        <w:rPr>
          <w:rFonts w:ascii="宋体" w:eastAsia="宋体" w:hAnsi="宋体" w:hint="eastAsia"/>
          <w:sz w:val="21"/>
          <w:szCs w:val="21"/>
        </w:rPr>
        <w:t>L，模板1</w:t>
      </w:r>
      <w:r w:rsidRPr="005B4D1E">
        <w:rPr>
          <w:rFonts w:ascii="宋体" w:eastAsia="宋体" w:hAnsi="宋体"/>
          <w:sz w:val="21"/>
          <w:szCs w:val="21"/>
        </w:rPr>
        <w:t>µ</w:t>
      </w:r>
      <w:r w:rsidRPr="005B4D1E">
        <w:rPr>
          <w:rFonts w:ascii="宋体" w:eastAsia="宋体" w:hAnsi="宋体" w:hint="eastAsia"/>
          <w:sz w:val="21"/>
          <w:szCs w:val="21"/>
        </w:rPr>
        <w:t>L，ddH</w:t>
      </w:r>
      <w:r w:rsidRPr="005B4D1E">
        <w:rPr>
          <w:rFonts w:ascii="宋体" w:eastAsia="宋体" w:hAnsi="宋体" w:hint="eastAsia"/>
          <w:sz w:val="21"/>
          <w:szCs w:val="21"/>
          <w:vertAlign w:val="subscript"/>
        </w:rPr>
        <w:t>2</w:t>
      </w:r>
      <w:r w:rsidRPr="005B4D1E">
        <w:rPr>
          <w:rFonts w:ascii="宋体" w:eastAsia="宋体" w:hAnsi="宋体" w:hint="eastAsia"/>
          <w:sz w:val="21"/>
          <w:szCs w:val="21"/>
        </w:rPr>
        <w:t>O8</w:t>
      </w:r>
      <w:r w:rsidRPr="005B4D1E">
        <w:rPr>
          <w:rFonts w:ascii="宋体" w:eastAsia="宋体" w:hAnsi="宋体"/>
          <w:sz w:val="21"/>
          <w:szCs w:val="21"/>
        </w:rPr>
        <w:t>µ</w:t>
      </w:r>
      <w:r w:rsidRPr="005B4D1E">
        <w:rPr>
          <w:rFonts w:ascii="宋体" w:eastAsia="宋体" w:hAnsi="宋体" w:hint="eastAsia"/>
          <w:sz w:val="21"/>
          <w:szCs w:val="21"/>
        </w:rPr>
        <w:t>L。反应条件为：</w:t>
      </w:r>
      <w:smartTag w:uri="urn:schemas-microsoft-com:office:smarttags" w:element="chmetcnv">
        <w:smartTagPr>
          <w:attr w:name="TCSC" w:val="0"/>
          <w:attr w:name="NumberType" w:val="1"/>
          <w:attr w:name="Negative" w:val="False"/>
          <w:attr w:name="HasSpace" w:val="False"/>
          <w:attr w:name="SourceValue" w:val="95"/>
          <w:attr w:name="UnitName" w:val="℃"/>
        </w:smartTagPr>
        <w:r w:rsidRPr="005B4D1E">
          <w:rPr>
            <w:rFonts w:ascii="宋体" w:eastAsia="宋体" w:hAnsi="宋体" w:hint="eastAsia"/>
            <w:sz w:val="21"/>
            <w:szCs w:val="21"/>
          </w:rPr>
          <w:t>95℃</w:t>
        </w:r>
      </w:smartTag>
      <w:r w:rsidRPr="005B4D1E">
        <w:rPr>
          <w:rFonts w:ascii="宋体" w:eastAsia="宋体" w:hAnsi="宋体" w:hint="eastAsia"/>
          <w:sz w:val="21"/>
          <w:szCs w:val="21"/>
        </w:rPr>
        <w:t>5min；</w:t>
      </w:r>
      <w:smartTag w:uri="urn:schemas-microsoft-com:office:smarttags" w:element="chmetcnv">
        <w:smartTagPr>
          <w:attr w:name="TCSC" w:val="0"/>
          <w:attr w:name="NumberType" w:val="1"/>
          <w:attr w:name="Negative" w:val="False"/>
          <w:attr w:name="HasSpace" w:val="False"/>
          <w:attr w:name="SourceValue" w:val="95"/>
          <w:attr w:name="UnitName" w:val="℃"/>
        </w:smartTagPr>
        <w:r w:rsidRPr="005B4D1E">
          <w:rPr>
            <w:rFonts w:ascii="宋体" w:eastAsia="宋体" w:hAnsi="宋体" w:hint="eastAsia"/>
            <w:sz w:val="21"/>
            <w:szCs w:val="21"/>
          </w:rPr>
          <w:t>95℃</w:t>
        </w:r>
      </w:smartTag>
      <w:r w:rsidRPr="005B4D1E">
        <w:rPr>
          <w:rFonts w:ascii="宋体" w:eastAsia="宋体" w:hAnsi="宋体" w:hint="eastAsia"/>
          <w:sz w:val="21"/>
          <w:szCs w:val="21"/>
        </w:rPr>
        <w:t>20s，</w:t>
      </w:r>
      <w:smartTag w:uri="urn:schemas-microsoft-com:office:smarttags" w:element="chmetcnv">
        <w:smartTagPr>
          <w:attr w:name="TCSC" w:val="0"/>
          <w:attr w:name="NumberType" w:val="1"/>
          <w:attr w:name="Negative" w:val="False"/>
          <w:attr w:name="HasSpace" w:val="False"/>
          <w:attr w:name="SourceValue" w:val="50"/>
          <w:attr w:name="UnitName" w:val="℃"/>
        </w:smartTagPr>
        <w:r w:rsidRPr="005B4D1E">
          <w:rPr>
            <w:rFonts w:ascii="宋体" w:eastAsia="宋体" w:hAnsi="宋体" w:hint="eastAsia"/>
            <w:sz w:val="21"/>
            <w:szCs w:val="21"/>
          </w:rPr>
          <w:t>50℃</w:t>
        </w:r>
      </w:smartTag>
      <w:r w:rsidRPr="005B4D1E">
        <w:rPr>
          <w:rFonts w:ascii="宋体" w:eastAsia="宋体" w:hAnsi="宋体" w:hint="eastAsia"/>
          <w:sz w:val="21"/>
          <w:szCs w:val="21"/>
        </w:rPr>
        <w:t>～</w:t>
      </w:r>
      <w:smartTag w:uri="urn:schemas-microsoft-com:office:smarttags" w:element="chmetcnv">
        <w:smartTagPr>
          <w:attr w:name="TCSC" w:val="0"/>
          <w:attr w:name="NumberType" w:val="1"/>
          <w:attr w:name="Negative" w:val="False"/>
          <w:attr w:name="HasSpace" w:val="False"/>
          <w:attr w:name="SourceValue" w:val="62"/>
          <w:attr w:name="UnitName" w:val="℃"/>
        </w:smartTagPr>
        <w:r w:rsidRPr="005B4D1E">
          <w:rPr>
            <w:rFonts w:ascii="宋体" w:eastAsia="宋体" w:hAnsi="宋体" w:hint="eastAsia"/>
            <w:sz w:val="21"/>
            <w:szCs w:val="21"/>
          </w:rPr>
          <w:t>62℃</w:t>
        </w:r>
      </w:smartTag>
      <w:r w:rsidRPr="005B4D1E">
        <w:rPr>
          <w:rFonts w:ascii="宋体" w:eastAsia="宋体" w:hAnsi="宋体" w:hint="eastAsia"/>
          <w:sz w:val="21"/>
          <w:szCs w:val="21"/>
        </w:rPr>
        <w:t>20s，</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30s，</w:t>
      </w:r>
      <w:smartTag w:uri="urn:schemas-microsoft-com:office:smarttags" w:element="chmetcnv">
        <w:smartTagPr>
          <w:attr w:name="TCSC" w:val="0"/>
          <w:attr w:name="NumberType" w:val="1"/>
          <w:attr w:name="Negative" w:val="False"/>
          <w:attr w:name="HasSpace" w:val="False"/>
          <w:attr w:name="SourceValue" w:val="80"/>
          <w:attr w:name="UnitName" w:val="℃"/>
        </w:smartTagPr>
        <w:r w:rsidRPr="005B4D1E">
          <w:rPr>
            <w:rFonts w:ascii="宋体" w:eastAsia="宋体" w:hAnsi="宋体" w:hint="eastAsia"/>
            <w:sz w:val="21"/>
            <w:szCs w:val="21"/>
          </w:rPr>
          <w:t>80</w:t>
        </w:r>
        <w:r w:rsidRPr="005B4D1E">
          <w:rPr>
            <w:rFonts w:ascii="宋体" w:eastAsia="宋体" w:hAnsi="宋体" w:cs="Arial"/>
            <w:sz w:val="21"/>
            <w:szCs w:val="21"/>
          </w:rPr>
          <w:t>℃</w:t>
        </w:r>
      </w:smartTag>
      <w:r w:rsidRPr="005B4D1E">
        <w:rPr>
          <w:rFonts w:ascii="宋体" w:eastAsia="宋体" w:hAnsi="宋体" w:hint="eastAsia"/>
          <w:sz w:val="21"/>
          <w:szCs w:val="21"/>
        </w:rPr>
        <w:t>～</w:t>
      </w:r>
      <w:smartTag w:uri="urn:schemas-microsoft-com:office:smarttags" w:element="chmetcnv">
        <w:smartTagPr>
          <w:attr w:name="TCSC" w:val="0"/>
          <w:attr w:name="NumberType" w:val="1"/>
          <w:attr w:name="Negative" w:val="False"/>
          <w:attr w:name="HasSpace" w:val="False"/>
          <w:attr w:name="SourceValue" w:val="86"/>
          <w:attr w:name="UnitName" w:val="℃"/>
        </w:smartTagPr>
        <w:r w:rsidRPr="005B4D1E">
          <w:rPr>
            <w:rFonts w:ascii="宋体" w:eastAsia="宋体" w:hAnsi="宋体" w:hint="eastAsia"/>
            <w:sz w:val="21"/>
            <w:szCs w:val="21"/>
          </w:rPr>
          <w:t>86℃</w:t>
        </w:r>
      </w:smartTag>
      <w:r w:rsidRPr="005B4D1E">
        <w:rPr>
          <w:rFonts w:ascii="宋体" w:eastAsia="宋体" w:hAnsi="宋体" w:hint="eastAsia"/>
          <w:sz w:val="21"/>
          <w:szCs w:val="21"/>
        </w:rPr>
        <w:t>读板，40个循环；</w:t>
      </w:r>
      <w:smartTag w:uri="urn:schemas-microsoft-com:office:smarttags" w:element="chmetcnv">
        <w:smartTagPr>
          <w:attr w:name="TCSC" w:val="0"/>
          <w:attr w:name="NumberType" w:val="1"/>
          <w:attr w:name="Negative" w:val="False"/>
          <w:attr w:name="HasSpace" w:val="False"/>
          <w:attr w:name="SourceValue" w:val="72"/>
          <w:attr w:name="UnitName" w:val="℃"/>
        </w:smartTagPr>
        <w:r w:rsidRPr="005B4D1E">
          <w:rPr>
            <w:rFonts w:ascii="宋体" w:eastAsia="宋体" w:hAnsi="宋体" w:hint="eastAsia"/>
            <w:sz w:val="21"/>
            <w:szCs w:val="21"/>
          </w:rPr>
          <w:t>72℃</w:t>
        </w:r>
      </w:smartTag>
      <w:r w:rsidRPr="005B4D1E">
        <w:rPr>
          <w:rFonts w:ascii="宋体" w:eastAsia="宋体" w:hAnsi="宋体" w:hint="eastAsia"/>
          <w:sz w:val="21"/>
          <w:szCs w:val="21"/>
        </w:rPr>
        <w:t>5min。熔解曲线分析为：</w:t>
      </w:r>
      <w:smartTag w:uri="urn:schemas-microsoft-com:office:smarttags" w:element="chmetcnv">
        <w:smartTagPr>
          <w:attr w:name="TCSC" w:val="0"/>
          <w:attr w:name="NumberType" w:val="1"/>
          <w:attr w:name="Negative" w:val="False"/>
          <w:attr w:name="HasSpace" w:val="False"/>
          <w:attr w:name="SourceValue" w:val="65"/>
          <w:attr w:name="UnitName" w:val="℃"/>
        </w:smartTagPr>
        <w:r w:rsidRPr="005B4D1E">
          <w:rPr>
            <w:rFonts w:ascii="宋体" w:eastAsia="宋体" w:hAnsi="宋体" w:hint="eastAsia"/>
            <w:sz w:val="21"/>
            <w:szCs w:val="21"/>
          </w:rPr>
          <w:t>65℃</w:t>
        </w:r>
      </w:smartTag>
      <w:r w:rsidRPr="005B4D1E">
        <w:rPr>
          <w:rFonts w:ascii="宋体" w:eastAsia="宋体" w:hAnsi="宋体" w:hint="eastAsia"/>
          <w:sz w:val="21"/>
          <w:szCs w:val="21"/>
        </w:rPr>
        <w:t>～</w:t>
      </w:r>
      <w:smartTag w:uri="urn:schemas-microsoft-com:office:smarttags" w:element="chmetcnv">
        <w:smartTagPr>
          <w:attr w:name="TCSC" w:val="0"/>
          <w:attr w:name="NumberType" w:val="1"/>
          <w:attr w:name="Negative" w:val="False"/>
          <w:attr w:name="HasSpace" w:val="False"/>
          <w:attr w:name="SourceValue" w:val="98"/>
          <w:attr w:name="UnitName" w:val="℃"/>
        </w:smartTagPr>
        <w:r w:rsidRPr="005B4D1E">
          <w:rPr>
            <w:rFonts w:ascii="宋体" w:eastAsia="宋体" w:hAnsi="宋体" w:hint="eastAsia"/>
            <w:sz w:val="21"/>
            <w:szCs w:val="21"/>
          </w:rPr>
          <w:t>98℃</w:t>
        </w:r>
      </w:smartTag>
      <w:r w:rsidRPr="005B4D1E">
        <w:rPr>
          <w:rFonts w:ascii="宋体" w:eastAsia="宋体" w:hAnsi="宋体" w:hint="eastAsia"/>
          <w:sz w:val="21"/>
          <w:szCs w:val="21"/>
        </w:rPr>
        <w:t>，每</w:t>
      </w:r>
      <w:smartTag w:uri="urn:schemas-microsoft-com:office:smarttags" w:element="chmetcnv">
        <w:smartTagPr>
          <w:attr w:name="TCSC" w:val="0"/>
          <w:attr w:name="NumberType" w:val="1"/>
          <w:attr w:name="Negative" w:val="False"/>
          <w:attr w:name="HasSpace" w:val="False"/>
          <w:attr w:name="SourceValue" w:val=".2"/>
          <w:attr w:name="UnitName" w:val="℃"/>
        </w:smartTagPr>
        <w:r w:rsidRPr="005B4D1E">
          <w:rPr>
            <w:rFonts w:ascii="宋体" w:eastAsia="宋体" w:hAnsi="宋体" w:hint="eastAsia"/>
            <w:sz w:val="21"/>
            <w:szCs w:val="21"/>
          </w:rPr>
          <w:t>0.2℃</w:t>
        </w:r>
      </w:smartTag>
      <w:r w:rsidRPr="005B4D1E">
        <w:rPr>
          <w:rFonts w:ascii="宋体" w:eastAsia="宋体" w:hAnsi="宋体" w:hint="eastAsia"/>
          <w:sz w:val="21"/>
          <w:szCs w:val="21"/>
        </w:rPr>
        <w:t>读板1次，1s／次。</w:t>
      </w:r>
    </w:p>
    <w:p w:rsidR="009D14A5" w:rsidRPr="005B4D1E" w:rsidRDefault="009D14A5" w:rsidP="005B4D1E">
      <w:pPr>
        <w:tabs>
          <w:tab w:val="left" w:pos="7597"/>
        </w:tabs>
        <w:wordWrap w:val="0"/>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标准曲线的制作：</w:t>
      </w:r>
      <w:r w:rsidRPr="005B4D1E">
        <w:rPr>
          <w:rFonts w:ascii="宋体" w:eastAsia="宋体" w:hAnsi="宋体" w:hint="eastAsia"/>
          <w:sz w:val="21"/>
          <w:szCs w:val="21"/>
        </w:rPr>
        <w:t>用质粒抽提试剂盒提取质粒，经紫外分光光度计测定质粒的OD</w:t>
      </w:r>
      <w:r w:rsidRPr="005B4D1E">
        <w:rPr>
          <w:rFonts w:ascii="宋体" w:eastAsia="宋体" w:hAnsi="宋体" w:hint="eastAsia"/>
          <w:sz w:val="21"/>
          <w:szCs w:val="21"/>
          <w:vertAlign w:val="subscript"/>
        </w:rPr>
        <w:t>260nm</w:t>
      </w:r>
      <w:r w:rsidRPr="005B4D1E">
        <w:rPr>
          <w:rFonts w:ascii="宋体" w:eastAsia="宋体" w:hAnsi="宋体" w:hint="eastAsia"/>
          <w:sz w:val="21"/>
          <w:szCs w:val="21"/>
        </w:rPr>
        <w:t>和OD</w:t>
      </w:r>
      <w:r w:rsidRPr="005B4D1E">
        <w:rPr>
          <w:rFonts w:ascii="宋体" w:eastAsia="宋体" w:hAnsi="宋体" w:hint="eastAsia"/>
          <w:sz w:val="21"/>
          <w:szCs w:val="21"/>
          <w:vertAlign w:val="subscript"/>
        </w:rPr>
        <w:t>280nm</w:t>
      </w:r>
      <w:r w:rsidRPr="005B4D1E">
        <w:rPr>
          <w:rFonts w:ascii="宋体" w:eastAsia="宋体" w:hAnsi="宋体" w:hint="eastAsia"/>
          <w:sz w:val="21"/>
          <w:szCs w:val="21"/>
        </w:rPr>
        <w:t>值，将OD</w:t>
      </w:r>
      <w:r w:rsidRPr="005B4D1E">
        <w:rPr>
          <w:rFonts w:ascii="宋体" w:eastAsia="宋体" w:hAnsi="宋体" w:hint="eastAsia"/>
          <w:sz w:val="21"/>
          <w:szCs w:val="21"/>
          <w:vertAlign w:val="subscript"/>
        </w:rPr>
        <w:t>260nm</w:t>
      </w:r>
      <w:r w:rsidRPr="005B4D1E">
        <w:rPr>
          <w:rFonts w:ascii="宋体" w:eastAsia="宋体" w:hAnsi="宋体" w:hint="eastAsia"/>
          <w:sz w:val="21"/>
          <w:szCs w:val="21"/>
        </w:rPr>
        <w:t>/OD</w:t>
      </w:r>
      <w:r w:rsidRPr="005B4D1E">
        <w:rPr>
          <w:rFonts w:ascii="宋体" w:eastAsia="宋体" w:hAnsi="宋体" w:hint="eastAsia"/>
          <w:sz w:val="21"/>
          <w:szCs w:val="21"/>
          <w:vertAlign w:val="subscript"/>
        </w:rPr>
        <w:t>280nm</w:t>
      </w:r>
      <w:r w:rsidRPr="005B4D1E">
        <w:rPr>
          <w:rFonts w:ascii="宋体" w:eastAsia="宋体" w:hAnsi="宋体" w:hint="eastAsia"/>
          <w:sz w:val="21"/>
          <w:szCs w:val="21"/>
        </w:rPr>
        <w:t>比值在1.8～2.0的重组质粒p-IL-2、p-12p40、p-IFN-</w:t>
      </w:r>
      <w:r w:rsidRPr="005B4D1E">
        <w:rPr>
          <w:rFonts w:ascii="宋体" w:eastAsia="宋体" w:hAnsi="宋体"/>
          <w:sz w:val="21"/>
          <w:szCs w:val="21"/>
        </w:rPr>
        <w:t>γ</w:t>
      </w:r>
      <w:r w:rsidRPr="005B4D1E">
        <w:rPr>
          <w:rFonts w:ascii="宋体" w:eastAsia="宋体" w:hAnsi="宋体" w:hint="eastAsia"/>
          <w:sz w:val="21"/>
          <w:szCs w:val="21"/>
        </w:rPr>
        <w:t>、p-IL-4、p-IL-6、p-IL-10、p-Fas、p-FasL、p-TNFR1、p-TNF-</w:t>
      </w:r>
      <w:r w:rsidRPr="005B4D1E">
        <w:rPr>
          <w:rFonts w:ascii="宋体" w:eastAsia="宋体" w:hAnsi="宋体" w:cs="Arial"/>
          <w:sz w:val="21"/>
          <w:szCs w:val="21"/>
        </w:rPr>
        <w:t>α</w:t>
      </w:r>
      <w:r w:rsidRPr="005B4D1E">
        <w:rPr>
          <w:rFonts w:ascii="宋体" w:eastAsia="宋体" w:hAnsi="宋体" w:hint="eastAsia"/>
          <w:sz w:val="21"/>
          <w:szCs w:val="21"/>
        </w:rPr>
        <w:t>和p-</w:t>
      </w:r>
      <w:r w:rsidRPr="005B4D1E">
        <w:rPr>
          <w:rFonts w:ascii="宋体" w:eastAsia="宋体" w:hAnsi="宋体" w:cs="Arial"/>
          <w:sz w:val="21"/>
          <w:szCs w:val="21"/>
        </w:rPr>
        <w:t>β</w:t>
      </w:r>
      <w:r w:rsidRPr="005B4D1E">
        <w:rPr>
          <w:rFonts w:ascii="宋体" w:eastAsia="宋体" w:hAnsi="宋体" w:hint="eastAsia"/>
          <w:sz w:val="21"/>
          <w:szCs w:val="21"/>
        </w:rPr>
        <w:t>-actin用于制作标准曲</w:t>
      </w:r>
      <w:r w:rsidRPr="005B4D1E">
        <w:rPr>
          <w:rFonts w:ascii="宋体" w:eastAsia="宋体" w:hAnsi="宋体" w:hint="eastAsia"/>
          <w:sz w:val="21"/>
          <w:szCs w:val="21"/>
        </w:rPr>
        <w:lastRenderedPageBreak/>
        <w:t>线。根据OD</w:t>
      </w:r>
      <w:r w:rsidRPr="005B4D1E">
        <w:rPr>
          <w:rFonts w:ascii="宋体" w:eastAsia="宋体" w:hAnsi="宋体" w:hint="eastAsia"/>
          <w:sz w:val="21"/>
          <w:szCs w:val="21"/>
          <w:vertAlign w:val="subscript"/>
        </w:rPr>
        <w:t>260nm</w:t>
      </w:r>
      <w:r w:rsidRPr="005B4D1E">
        <w:rPr>
          <w:rFonts w:ascii="宋体" w:eastAsia="宋体" w:hAnsi="宋体" w:hint="eastAsia"/>
          <w:sz w:val="21"/>
          <w:szCs w:val="21"/>
        </w:rPr>
        <w:t>值计算质粒浓度，并换算成拷贝数后，以TE缓冲液(PH8.0)10倍系列稀释成7个梯度（p-IL-2为1.21×10</w:t>
      </w:r>
      <w:r w:rsidRPr="005B4D1E">
        <w:rPr>
          <w:rFonts w:ascii="宋体" w:eastAsia="宋体" w:hAnsi="宋体" w:hint="eastAsia"/>
          <w:sz w:val="21"/>
          <w:szCs w:val="21"/>
          <w:vertAlign w:val="superscript"/>
        </w:rPr>
        <w:t>10</w:t>
      </w:r>
      <w:r w:rsidRPr="005B4D1E">
        <w:rPr>
          <w:rFonts w:ascii="宋体" w:eastAsia="宋体" w:hAnsi="宋体" w:hint="eastAsia"/>
          <w:sz w:val="21"/>
          <w:szCs w:val="21"/>
        </w:rPr>
        <w:t>～1.21×l0</w:t>
      </w:r>
      <w:r w:rsidRPr="005B4D1E">
        <w:rPr>
          <w:rFonts w:ascii="宋体" w:eastAsia="宋体" w:hAnsi="宋体" w:hint="eastAsia"/>
          <w:sz w:val="21"/>
          <w:szCs w:val="21"/>
          <w:vertAlign w:val="superscript"/>
        </w:rPr>
        <w:t>4</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L，p-IL-12p40为4.74</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9</w:t>
      </w:r>
      <w:r w:rsidRPr="005B4D1E">
        <w:rPr>
          <w:rFonts w:ascii="宋体" w:eastAsia="宋体" w:hAnsi="宋体" w:hint="eastAsia"/>
          <w:sz w:val="21"/>
          <w:szCs w:val="21"/>
        </w:rPr>
        <w:t>～4.74×l0</w:t>
      </w:r>
      <w:r w:rsidRPr="005B4D1E">
        <w:rPr>
          <w:rFonts w:ascii="宋体" w:eastAsia="宋体" w:hAnsi="宋体" w:hint="eastAsia"/>
          <w:sz w:val="21"/>
          <w:szCs w:val="21"/>
          <w:vertAlign w:val="superscript"/>
        </w:rPr>
        <w:t>3</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L，p-IFN-</w:t>
      </w:r>
      <w:r w:rsidRPr="005B4D1E">
        <w:rPr>
          <w:rFonts w:ascii="宋体" w:eastAsia="宋体" w:hAnsi="宋体"/>
          <w:sz w:val="21"/>
          <w:szCs w:val="21"/>
        </w:rPr>
        <w:t>γ</w:t>
      </w:r>
      <w:r w:rsidRPr="005B4D1E">
        <w:rPr>
          <w:rFonts w:ascii="宋体" w:eastAsia="宋体" w:hAnsi="宋体" w:hint="eastAsia"/>
          <w:sz w:val="21"/>
          <w:szCs w:val="21"/>
        </w:rPr>
        <w:t>为3.67×l0</w:t>
      </w:r>
      <w:r w:rsidRPr="005B4D1E">
        <w:rPr>
          <w:rFonts w:ascii="宋体" w:eastAsia="宋体" w:hAnsi="宋体" w:hint="eastAsia"/>
          <w:sz w:val="21"/>
          <w:szCs w:val="21"/>
          <w:vertAlign w:val="superscript"/>
        </w:rPr>
        <w:t>9</w:t>
      </w:r>
      <w:r w:rsidRPr="005B4D1E">
        <w:rPr>
          <w:rFonts w:ascii="宋体" w:eastAsia="宋体" w:hAnsi="宋体" w:hint="eastAsia"/>
          <w:sz w:val="21"/>
          <w:szCs w:val="21"/>
        </w:rPr>
        <w:t>～3.67×10</w:t>
      </w:r>
      <w:r w:rsidRPr="005B4D1E">
        <w:rPr>
          <w:rFonts w:ascii="宋体" w:eastAsia="宋体" w:hAnsi="宋体" w:hint="eastAsia"/>
          <w:sz w:val="21"/>
          <w:szCs w:val="21"/>
          <w:vertAlign w:val="superscript"/>
        </w:rPr>
        <w:t>3</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L、p-IL-4为1.44×l0</w:t>
      </w:r>
      <w:r w:rsidRPr="005B4D1E">
        <w:rPr>
          <w:rFonts w:ascii="宋体" w:eastAsia="宋体" w:hAnsi="宋体" w:hint="eastAsia"/>
          <w:sz w:val="21"/>
          <w:szCs w:val="21"/>
          <w:vertAlign w:val="superscript"/>
        </w:rPr>
        <w:t>7</w:t>
      </w:r>
      <w:r w:rsidRPr="005B4D1E">
        <w:rPr>
          <w:rFonts w:ascii="宋体" w:eastAsia="宋体" w:hAnsi="宋体" w:hint="eastAsia"/>
          <w:sz w:val="21"/>
          <w:szCs w:val="21"/>
        </w:rPr>
        <w:t>～1.44×10</w:t>
      </w:r>
      <w:r w:rsidRPr="005B4D1E">
        <w:rPr>
          <w:rFonts w:ascii="宋体" w:eastAsia="宋体" w:hAnsi="宋体" w:hint="eastAsia"/>
          <w:sz w:val="21"/>
          <w:szCs w:val="21"/>
          <w:vertAlign w:val="superscript"/>
        </w:rPr>
        <w:t>1</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L，p-IL-6为6.62×l0</w:t>
      </w:r>
      <w:r w:rsidRPr="005B4D1E">
        <w:rPr>
          <w:rFonts w:ascii="宋体" w:eastAsia="宋体" w:hAnsi="宋体" w:hint="eastAsia"/>
          <w:sz w:val="21"/>
          <w:szCs w:val="21"/>
          <w:vertAlign w:val="superscript"/>
        </w:rPr>
        <w:t>9</w:t>
      </w:r>
      <w:r w:rsidRPr="005B4D1E">
        <w:rPr>
          <w:rFonts w:ascii="宋体" w:eastAsia="宋体" w:hAnsi="宋体" w:hint="eastAsia"/>
          <w:sz w:val="21"/>
          <w:szCs w:val="21"/>
        </w:rPr>
        <w:t>～6.62×10</w:t>
      </w:r>
      <w:r w:rsidRPr="005B4D1E">
        <w:rPr>
          <w:rFonts w:ascii="宋体" w:eastAsia="宋体" w:hAnsi="宋体" w:hint="eastAsia"/>
          <w:sz w:val="21"/>
          <w:szCs w:val="21"/>
          <w:vertAlign w:val="superscript"/>
        </w:rPr>
        <w:t>3</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L，p-IL-10为5.20×l0</w:t>
      </w:r>
      <w:r w:rsidRPr="005B4D1E">
        <w:rPr>
          <w:rFonts w:ascii="宋体" w:eastAsia="宋体" w:hAnsi="宋体" w:hint="eastAsia"/>
          <w:sz w:val="21"/>
          <w:szCs w:val="21"/>
          <w:vertAlign w:val="superscript"/>
        </w:rPr>
        <w:t>9</w:t>
      </w:r>
      <w:r w:rsidRPr="005B4D1E">
        <w:rPr>
          <w:rFonts w:ascii="宋体" w:eastAsia="宋体" w:hAnsi="宋体" w:hint="eastAsia"/>
          <w:sz w:val="21"/>
          <w:szCs w:val="21"/>
        </w:rPr>
        <w:t>～5.20×10</w:t>
      </w:r>
      <w:r w:rsidRPr="005B4D1E">
        <w:rPr>
          <w:rFonts w:ascii="宋体" w:eastAsia="宋体" w:hAnsi="宋体" w:hint="eastAsia"/>
          <w:sz w:val="21"/>
          <w:szCs w:val="21"/>
          <w:vertAlign w:val="superscript"/>
        </w:rPr>
        <w:t>3</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L、p-Fas为3.72×l0</w:t>
      </w:r>
      <w:r w:rsidRPr="005B4D1E">
        <w:rPr>
          <w:rFonts w:ascii="宋体" w:eastAsia="宋体" w:hAnsi="宋体" w:hint="eastAsia"/>
          <w:sz w:val="21"/>
          <w:szCs w:val="21"/>
          <w:vertAlign w:val="superscript"/>
        </w:rPr>
        <w:t>9</w:t>
      </w:r>
      <w:r w:rsidRPr="005B4D1E">
        <w:rPr>
          <w:rFonts w:ascii="宋体" w:eastAsia="宋体" w:hAnsi="宋体" w:hint="eastAsia"/>
          <w:sz w:val="21"/>
          <w:szCs w:val="21"/>
        </w:rPr>
        <w:t>～3.72×l0</w:t>
      </w:r>
      <w:r w:rsidRPr="005B4D1E">
        <w:rPr>
          <w:rFonts w:ascii="宋体" w:eastAsia="宋体" w:hAnsi="宋体" w:hint="eastAsia"/>
          <w:sz w:val="21"/>
          <w:szCs w:val="21"/>
          <w:vertAlign w:val="superscript"/>
        </w:rPr>
        <w:t>3</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L，p-FasL为9.76×l0</w:t>
      </w:r>
      <w:r w:rsidRPr="005B4D1E">
        <w:rPr>
          <w:rFonts w:ascii="宋体" w:eastAsia="宋体" w:hAnsi="宋体" w:hint="eastAsia"/>
          <w:sz w:val="21"/>
          <w:szCs w:val="21"/>
          <w:vertAlign w:val="superscript"/>
        </w:rPr>
        <w:t>9</w:t>
      </w:r>
      <w:r w:rsidRPr="005B4D1E">
        <w:rPr>
          <w:rFonts w:ascii="宋体" w:eastAsia="宋体" w:hAnsi="宋体" w:hint="eastAsia"/>
          <w:sz w:val="21"/>
          <w:szCs w:val="21"/>
        </w:rPr>
        <w:t>～9.76×10</w:t>
      </w:r>
      <w:r w:rsidRPr="005B4D1E">
        <w:rPr>
          <w:rFonts w:ascii="宋体" w:eastAsia="宋体" w:hAnsi="宋体" w:hint="eastAsia"/>
          <w:sz w:val="21"/>
          <w:szCs w:val="21"/>
          <w:vertAlign w:val="superscript"/>
        </w:rPr>
        <w:t>3</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L，p-TNFR1为1.23×10</w:t>
      </w:r>
      <w:r w:rsidRPr="005B4D1E">
        <w:rPr>
          <w:rFonts w:ascii="宋体" w:eastAsia="宋体" w:hAnsi="宋体" w:hint="eastAsia"/>
          <w:sz w:val="21"/>
          <w:szCs w:val="21"/>
          <w:vertAlign w:val="superscript"/>
        </w:rPr>
        <w:t>10</w:t>
      </w:r>
      <w:r w:rsidRPr="005B4D1E">
        <w:rPr>
          <w:rFonts w:ascii="宋体" w:eastAsia="宋体" w:hAnsi="宋体" w:hint="eastAsia"/>
          <w:sz w:val="21"/>
          <w:szCs w:val="21"/>
        </w:rPr>
        <w:t>～1.23×10</w:t>
      </w:r>
      <w:r w:rsidRPr="005B4D1E">
        <w:rPr>
          <w:rFonts w:ascii="宋体" w:eastAsia="宋体" w:hAnsi="宋体" w:hint="eastAsia"/>
          <w:sz w:val="21"/>
          <w:szCs w:val="21"/>
          <w:vertAlign w:val="superscript"/>
        </w:rPr>
        <w:t>4</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L，p-TNF-</w:t>
      </w:r>
      <w:r w:rsidRPr="005B4D1E">
        <w:rPr>
          <w:rFonts w:ascii="宋体" w:eastAsia="宋体" w:hAnsi="宋体" w:cs="Arial"/>
          <w:sz w:val="21"/>
          <w:szCs w:val="21"/>
        </w:rPr>
        <w:t>α</w:t>
      </w:r>
      <w:r w:rsidRPr="005B4D1E">
        <w:rPr>
          <w:rFonts w:ascii="宋体" w:eastAsia="宋体" w:hAnsi="宋体" w:hint="eastAsia"/>
          <w:sz w:val="21"/>
          <w:szCs w:val="21"/>
        </w:rPr>
        <w:t>为1.59×l0</w:t>
      </w:r>
      <w:r w:rsidRPr="005B4D1E">
        <w:rPr>
          <w:rFonts w:ascii="宋体" w:eastAsia="宋体" w:hAnsi="宋体" w:hint="eastAsia"/>
          <w:sz w:val="21"/>
          <w:szCs w:val="21"/>
          <w:vertAlign w:val="superscript"/>
        </w:rPr>
        <w:t>9</w:t>
      </w:r>
      <w:r w:rsidRPr="005B4D1E">
        <w:rPr>
          <w:rFonts w:ascii="宋体" w:eastAsia="宋体" w:hAnsi="宋体" w:hint="eastAsia"/>
          <w:sz w:val="21"/>
          <w:szCs w:val="21"/>
        </w:rPr>
        <w:t>～1.59×10</w:t>
      </w:r>
      <w:r w:rsidRPr="005B4D1E">
        <w:rPr>
          <w:rFonts w:ascii="宋体" w:eastAsia="宋体" w:hAnsi="宋体" w:hint="eastAsia"/>
          <w:sz w:val="21"/>
          <w:szCs w:val="21"/>
          <w:vertAlign w:val="superscript"/>
        </w:rPr>
        <w:t>3</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L、p-</w:t>
      </w:r>
      <w:r w:rsidRPr="005B4D1E">
        <w:rPr>
          <w:rFonts w:ascii="宋体" w:eastAsia="宋体" w:hAnsi="宋体" w:cs="Arial"/>
          <w:sz w:val="21"/>
          <w:szCs w:val="21"/>
        </w:rPr>
        <w:t>β</w:t>
      </w:r>
      <w:r w:rsidRPr="005B4D1E">
        <w:rPr>
          <w:rFonts w:ascii="宋体" w:eastAsia="宋体" w:hAnsi="宋体" w:hint="eastAsia"/>
          <w:sz w:val="21"/>
          <w:szCs w:val="21"/>
        </w:rPr>
        <w:t>-actin为6.19×l0</w:t>
      </w:r>
      <w:r w:rsidRPr="005B4D1E">
        <w:rPr>
          <w:rFonts w:ascii="宋体" w:eastAsia="宋体" w:hAnsi="宋体" w:hint="eastAsia"/>
          <w:sz w:val="21"/>
          <w:szCs w:val="21"/>
          <w:vertAlign w:val="superscript"/>
        </w:rPr>
        <w:t>10</w:t>
      </w:r>
      <w:r w:rsidRPr="005B4D1E">
        <w:rPr>
          <w:rFonts w:ascii="宋体" w:eastAsia="宋体" w:hAnsi="宋体" w:hint="eastAsia"/>
          <w:sz w:val="21"/>
          <w:szCs w:val="21"/>
        </w:rPr>
        <w:t>～6.19×10</w:t>
      </w:r>
      <w:r w:rsidRPr="005B4D1E">
        <w:rPr>
          <w:rFonts w:ascii="宋体" w:eastAsia="宋体" w:hAnsi="宋体" w:hint="eastAsia"/>
          <w:sz w:val="21"/>
          <w:szCs w:val="21"/>
          <w:vertAlign w:val="superscript"/>
        </w:rPr>
        <w:t>4</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L）。以此为模板，建立20</w:t>
      </w:r>
      <w:r w:rsidRPr="005B4D1E">
        <w:rPr>
          <w:rFonts w:ascii="宋体" w:eastAsia="宋体" w:hAnsi="宋体"/>
          <w:sz w:val="21"/>
          <w:szCs w:val="21"/>
        </w:rPr>
        <w:t>µ</w:t>
      </w:r>
      <w:r w:rsidRPr="005B4D1E">
        <w:rPr>
          <w:rFonts w:ascii="宋体" w:eastAsia="宋体" w:hAnsi="宋体" w:hint="eastAsia"/>
          <w:sz w:val="21"/>
          <w:szCs w:val="21"/>
        </w:rPr>
        <w:t>L反应体系，根据优化反应条件，在Opticon</w:t>
      </w:r>
      <w:r w:rsidRPr="005B4D1E">
        <w:rPr>
          <w:rFonts w:ascii="宋体" w:eastAsia="宋体" w:hAnsi="宋体" w:hint="eastAsia"/>
          <w:sz w:val="21"/>
          <w:szCs w:val="21"/>
          <w:vertAlign w:val="superscript"/>
        </w:rPr>
        <w:t>TM</w:t>
      </w:r>
      <w:r w:rsidRPr="005B4D1E">
        <w:rPr>
          <w:rFonts w:ascii="宋体" w:eastAsia="宋体" w:hAnsi="宋体" w:hint="eastAsia"/>
          <w:sz w:val="21"/>
          <w:szCs w:val="21"/>
        </w:rPr>
        <w:t>2型PCR仪上扩增，得到Th1型（IL-2、IL-12p40、IFN-</w:t>
      </w:r>
      <w:r w:rsidRPr="005B4D1E">
        <w:rPr>
          <w:rFonts w:ascii="宋体" w:eastAsia="宋体" w:hAnsi="宋体"/>
          <w:sz w:val="21"/>
          <w:szCs w:val="21"/>
        </w:rPr>
        <w:t>γ</w:t>
      </w:r>
      <w:r w:rsidRPr="005B4D1E">
        <w:rPr>
          <w:rFonts w:ascii="宋体" w:eastAsia="宋体" w:hAnsi="宋体" w:hint="eastAsia"/>
          <w:sz w:val="21"/>
          <w:szCs w:val="21"/>
        </w:rPr>
        <w:t>）（图35）、Th2型(IL-4、IL-6、IL-10)（图36）、凋亡(Fas、FasL、TNFR1、TNF-</w:t>
      </w:r>
      <w:r w:rsidRPr="005B4D1E">
        <w:rPr>
          <w:rFonts w:ascii="宋体" w:eastAsia="宋体" w:hAnsi="宋体" w:cs="Arial"/>
          <w:sz w:val="21"/>
          <w:szCs w:val="21"/>
        </w:rPr>
        <w:t>α</w:t>
      </w:r>
      <w:r w:rsidRPr="005B4D1E">
        <w:rPr>
          <w:rFonts w:ascii="宋体" w:eastAsia="宋体" w:hAnsi="宋体" w:hint="eastAsia"/>
          <w:sz w:val="21"/>
          <w:szCs w:val="21"/>
        </w:rPr>
        <w:t>)（图37）以及p-actin的扩增曲线、标准曲线及熔解曲线。标准曲线方程表明，标准品起始模板浓度与Ct值呈现良好的线性关系，相关系数r</w:t>
      </w:r>
      <w:r w:rsidRPr="005B4D1E">
        <w:rPr>
          <w:rFonts w:ascii="宋体" w:eastAsia="宋体" w:hAnsi="宋体" w:hint="eastAsia"/>
          <w:sz w:val="21"/>
          <w:szCs w:val="21"/>
          <w:vertAlign w:val="superscript"/>
        </w:rPr>
        <w:t>2</w:t>
      </w:r>
      <w:r w:rsidRPr="005B4D1E">
        <w:rPr>
          <w:rFonts w:ascii="宋体" w:eastAsia="宋体" w:hAnsi="宋体" w:hint="eastAsia"/>
          <w:sz w:val="21"/>
          <w:szCs w:val="21"/>
        </w:rPr>
        <w:t>均达到0.997以上。熔解曲线表明，扩增产物形成单一的特异性熔解峰，其T</w:t>
      </w:r>
      <w:r w:rsidRPr="005B4D1E">
        <w:rPr>
          <w:rFonts w:ascii="宋体" w:eastAsia="宋体" w:hAnsi="宋体" w:hint="eastAsia"/>
          <w:sz w:val="21"/>
          <w:szCs w:val="21"/>
          <w:vertAlign w:val="subscript"/>
        </w:rPr>
        <w:t>m</w:t>
      </w:r>
      <w:r w:rsidRPr="005B4D1E">
        <w:rPr>
          <w:rFonts w:ascii="宋体" w:eastAsia="宋体" w:hAnsi="宋体" w:hint="eastAsia"/>
          <w:sz w:val="21"/>
          <w:szCs w:val="21"/>
        </w:rPr>
        <w:t>值介于83℃～</w:t>
      </w:r>
      <w:smartTag w:uri="urn:schemas-microsoft-com:office:smarttags" w:element="chmetcnv">
        <w:smartTagPr>
          <w:attr w:name="TCSC" w:val="0"/>
          <w:attr w:name="NumberType" w:val="1"/>
          <w:attr w:name="Negative" w:val="False"/>
          <w:attr w:name="HasSpace" w:val="False"/>
          <w:attr w:name="SourceValue" w:val="91"/>
          <w:attr w:name="UnitName" w:val="℃"/>
        </w:smartTagPr>
        <w:r w:rsidRPr="005B4D1E">
          <w:rPr>
            <w:rFonts w:ascii="宋体" w:eastAsia="宋体" w:hAnsi="宋体" w:hint="eastAsia"/>
            <w:sz w:val="21"/>
            <w:szCs w:val="21"/>
          </w:rPr>
          <w:t>91℃</w:t>
        </w:r>
      </w:smartTag>
      <w:r w:rsidRPr="005B4D1E">
        <w:rPr>
          <w:rFonts w:ascii="宋体" w:eastAsia="宋体" w:hAnsi="宋体" w:hint="eastAsia"/>
          <w:sz w:val="21"/>
          <w:szCs w:val="21"/>
        </w:rPr>
        <w:t>之间，最适读板温度介于80℃～</w:t>
      </w:r>
      <w:smartTag w:uri="urn:schemas-microsoft-com:office:smarttags" w:element="chmetcnv">
        <w:smartTagPr>
          <w:attr w:name="TCSC" w:val="0"/>
          <w:attr w:name="NumberType" w:val="1"/>
          <w:attr w:name="Negative" w:val="False"/>
          <w:attr w:name="HasSpace" w:val="False"/>
          <w:attr w:name="SourceValue" w:val="88"/>
          <w:attr w:name="UnitName" w:val="℃"/>
        </w:smartTagPr>
        <w:r w:rsidRPr="005B4D1E">
          <w:rPr>
            <w:rFonts w:ascii="宋体" w:eastAsia="宋体" w:hAnsi="宋体" w:hint="eastAsia"/>
            <w:sz w:val="21"/>
            <w:szCs w:val="21"/>
          </w:rPr>
          <w:t>88℃</w:t>
        </w:r>
      </w:smartTag>
      <w:r w:rsidRPr="005B4D1E">
        <w:rPr>
          <w:rFonts w:ascii="宋体" w:eastAsia="宋体" w:hAnsi="宋体" w:hint="eastAsia"/>
          <w:sz w:val="21"/>
          <w:szCs w:val="21"/>
        </w:rPr>
        <w:t>之间（表31）。</w:t>
      </w:r>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5029200" cy="3381375"/>
            <wp:effectExtent l="19050" t="0" r="0" b="0"/>
            <wp:docPr id="63"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pic:cNvPicPr>
                      <a:picLocks noChangeAspect="1" noChangeArrowheads="1"/>
                    </pic:cNvPicPr>
                  </pic:nvPicPr>
                  <pic:blipFill>
                    <a:blip r:embed="rId72" cstate="print"/>
                    <a:srcRect/>
                    <a:stretch>
                      <a:fillRect/>
                    </a:stretch>
                  </pic:blipFill>
                  <pic:spPr bwMode="auto">
                    <a:xfrm>
                      <a:off x="0" y="0"/>
                      <a:ext cx="5029200" cy="3381375"/>
                    </a:xfrm>
                    <a:prstGeom prst="rect">
                      <a:avLst/>
                    </a:prstGeom>
                    <a:noFill/>
                    <a:ln w="9525">
                      <a:noFill/>
                      <a:miter lim="800000"/>
                      <a:headEnd/>
                      <a:tailEnd/>
                    </a:ln>
                  </pic:spPr>
                </pic:pic>
              </a:graphicData>
            </a:graphic>
          </wp:inline>
        </w:drawing>
      </w:r>
    </w:p>
    <w:p w:rsidR="009D14A5" w:rsidRPr="005B4D1E" w:rsidRDefault="009D14A5" w:rsidP="00B03D18">
      <w:pPr>
        <w:pStyle w:val="a5"/>
        <w:spacing w:after="156"/>
      </w:pPr>
      <w:bookmarkStart w:id="78" w:name="_Toc405816339"/>
      <w:r w:rsidRPr="005B4D1E">
        <w:rPr>
          <w:rFonts w:hint="eastAsia"/>
        </w:rPr>
        <w:t>图</w:t>
      </w:r>
      <w:r w:rsidR="00B03D18">
        <w:rPr>
          <w:rFonts w:hint="eastAsia"/>
        </w:rPr>
        <w:t xml:space="preserve">35 </w:t>
      </w:r>
      <w:r w:rsidRPr="005B4D1E">
        <w:rPr>
          <w:rFonts w:hint="eastAsia"/>
        </w:rPr>
        <w:t>Th1</w:t>
      </w:r>
      <w:r w:rsidRPr="005B4D1E">
        <w:rPr>
          <w:rFonts w:hint="eastAsia"/>
        </w:rPr>
        <w:t>型细胞因子</w:t>
      </w:r>
      <w:r w:rsidRPr="005B4D1E">
        <w:rPr>
          <w:rFonts w:hint="eastAsia"/>
        </w:rPr>
        <w:t>SYBR Green I real-time PCR</w:t>
      </w:r>
      <w:r w:rsidRPr="005B4D1E">
        <w:rPr>
          <w:rFonts w:hint="eastAsia"/>
        </w:rPr>
        <w:t>扩增曲线</w:t>
      </w:r>
      <w:r w:rsidRPr="005B4D1E">
        <w:rPr>
          <w:rFonts w:hint="eastAsia"/>
        </w:rPr>
        <w:t>(A)</w:t>
      </w:r>
      <w:r w:rsidRPr="005B4D1E">
        <w:rPr>
          <w:rFonts w:hint="eastAsia"/>
        </w:rPr>
        <w:t>、标准曲线</w:t>
      </w:r>
      <w:r w:rsidRPr="005B4D1E">
        <w:rPr>
          <w:rFonts w:hint="eastAsia"/>
        </w:rPr>
        <w:t>(B)</w:t>
      </w:r>
      <w:r w:rsidRPr="005B4D1E">
        <w:rPr>
          <w:rFonts w:hint="eastAsia"/>
        </w:rPr>
        <w:t>及熔解曲线</w:t>
      </w:r>
      <w:r w:rsidRPr="005B4D1E">
        <w:rPr>
          <w:rFonts w:hint="eastAsia"/>
        </w:rPr>
        <w:t>(C)</w:t>
      </w:r>
      <w:bookmarkEnd w:id="78"/>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lastRenderedPageBreak/>
        <w:drawing>
          <wp:inline distT="0" distB="0" distL="0" distR="0">
            <wp:extent cx="5149850" cy="3881755"/>
            <wp:effectExtent l="19050" t="0" r="0" b="0"/>
            <wp:docPr id="64"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73" cstate="print"/>
                    <a:srcRect/>
                    <a:stretch>
                      <a:fillRect/>
                    </a:stretch>
                  </pic:blipFill>
                  <pic:spPr bwMode="auto">
                    <a:xfrm>
                      <a:off x="0" y="0"/>
                      <a:ext cx="5149850" cy="3881755"/>
                    </a:xfrm>
                    <a:prstGeom prst="rect">
                      <a:avLst/>
                    </a:prstGeom>
                    <a:noFill/>
                    <a:ln w="9525">
                      <a:noFill/>
                      <a:miter lim="800000"/>
                      <a:headEnd/>
                      <a:tailEnd/>
                    </a:ln>
                  </pic:spPr>
                </pic:pic>
              </a:graphicData>
            </a:graphic>
          </wp:inline>
        </w:drawing>
      </w:r>
    </w:p>
    <w:p w:rsidR="009D14A5" w:rsidRPr="005B4D1E" w:rsidRDefault="009D14A5" w:rsidP="00B03D18">
      <w:pPr>
        <w:pStyle w:val="a5"/>
        <w:spacing w:after="156"/>
      </w:pPr>
      <w:bookmarkStart w:id="79" w:name="_Toc405816340"/>
      <w:r w:rsidRPr="005B4D1E">
        <w:rPr>
          <w:rFonts w:hint="eastAsia"/>
        </w:rPr>
        <w:t>图</w:t>
      </w:r>
      <w:r w:rsidR="00B03D18">
        <w:rPr>
          <w:rFonts w:hint="eastAsia"/>
        </w:rPr>
        <w:t xml:space="preserve">36 </w:t>
      </w:r>
      <w:r w:rsidRPr="005B4D1E">
        <w:rPr>
          <w:rFonts w:hint="eastAsia"/>
        </w:rPr>
        <w:t>Th2</w:t>
      </w:r>
      <w:r w:rsidRPr="005B4D1E">
        <w:rPr>
          <w:rFonts w:hint="eastAsia"/>
        </w:rPr>
        <w:t>型细胞因子</w:t>
      </w:r>
      <w:r w:rsidRPr="005B4D1E">
        <w:rPr>
          <w:rFonts w:hint="eastAsia"/>
        </w:rPr>
        <w:t>SYBR Green I real-time PCR</w:t>
      </w:r>
      <w:r w:rsidRPr="005B4D1E">
        <w:rPr>
          <w:rFonts w:hint="eastAsia"/>
        </w:rPr>
        <w:t>扩增曲线</w:t>
      </w:r>
      <w:r w:rsidRPr="005B4D1E">
        <w:rPr>
          <w:rFonts w:hint="eastAsia"/>
        </w:rPr>
        <w:t>(A)</w:t>
      </w:r>
      <w:r w:rsidRPr="005B4D1E">
        <w:rPr>
          <w:rFonts w:hint="eastAsia"/>
        </w:rPr>
        <w:t>、标准曲线</w:t>
      </w:r>
      <w:r w:rsidRPr="005B4D1E">
        <w:rPr>
          <w:rFonts w:hint="eastAsia"/>
        </w:rPr>
        <w:t>(B)</w:t>
      </w:r>
      <w:r w:rsidRPr="005B4D1E">
        <w:rPr>
          <w:rFonts w:hint="eastAsia"/>
        </w:rPr>
        <w:t>及熔解曲线</w:t>
      </w:r>
      <w:r w:rsidRPr="005B4D1E">
        <w:rPr>
          <w:rFonts w:hint="eastAsia"/>
        </w:rPr>
        <w:t>(C)</w:t>
      </w:r>
      <w:bookmarkEnd w:id="79"/>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lastRenderedPageBreak/>
        <w:drawing>
          <wp:inline distT="0" distB="0" distL="0" distR="0">
            <wp:extent cx="4399280" cy="7531100"/>
            <wp:effectExtent l="19050" t="0" r="1270" b="0"/>
            <wp:docPr id="65"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spect="1" noChangeArrowheads="1"/>
                    </pic:cNvPicPr>
                  </pic:nvPicPr>
                  <pic:blipFill>
                    <a:blip r:embed="rId74" cstate="print"/>
                    <a:srcRect/>
                    <a:stretch>
                      <a:fillRect/>
                    </a:stretch>
                  </pic:blipFill>
                  <pic:spPr bwMode="auto">
                    <a:xfrm>
                      <a:off x="0" y="0"/>
                      <a:ext cx="4399280" cy="7531100"/>
                    </a:xfrm>
                    <a:prstGeom prst="rect">
                      <a:avLst/>
                    </a:prstGeom>
                    <a:noFill/>
                    <a:ln w="9525">
                      <a:noFill/>
                      <a:miter lim="800000"/>
                      <a:headEnd/>
                      <a:tailEnd/>
                    </a:ln>
                  </pic:spPr>
                </pic:pic>
              </a:graphicData>
            </a:graphic>
          </wp:inline>
        </w:drawing>
      </w:r>
    </w:p>
    <w:p w:rsidR="009D14A5" w:rsidRPr="005B4D1E" w:rsidRDefault="009D14A5" w:rsidP="00B03D18">
      <w:pPr>
        <w:pStyle w:val="a5"/>
        <w:spacing w:after="156"/>
      </w:pPr>
      <w:bookmarkStart w:id="80" w:name="_Toc405816341"/>
      <w:r w:rsidRPr="005B4D1E">
        <w:rPr>
          <w:rFonts w:hint="eastAsia"/>
        </w:rPr>
        <w:t>图</w:t>
      </w:r>
      <w:r w:rsidR="00B03D18">
        <w:rPr>
          <w:rFonts w:hint="eastAsia"/>
        </w:rPr>
        <w:t xml:space="preserve">37 </w:t>
      </w:r>
      <w:r w:rsidRPr="005B4D1E">
        <w:rPr>
          <w:rFonts w:hint="eastAsia"/>
        </w:rPr>
        <w:t>凋亡细胞因子</w:t>
      </w:r>
      <w:r w:rsidRPr="005B4D1E">
        <w:rPr>
          <w:rFonts w:hint="eastAsia"/>
        </w:rPr>
        <w:t>SYBR Green I real-time PCR</w:t>
      </w:r>
      <w:r w:rsidRPr="005B4D1E">
        <w:rPr>
          <w:rFonts w:hint="eastAsia"/>
        </w:rPr>
        <w:t>扩增曲线</w:t>
      </w:r>
      <w:r w:rsidRPr="005B4D1E">
        <w:rPr>
          <w:rFonts w:hint="eastAsia"/>
        </w:rPr>
        <w:t>(A)</w:t>
      </w:r>
      <w:r w:rsidRPr="005B4D1E">
        <w:rPr>
          <w:rFonts w:hint="eastAsia"/>
        </w:rPr>
        <w:t>、标准曲线</w:t>
      </w:r>
      <w:r w:rsidRPr="005B4D1E">
        <w:rPr>
          <w:rFonts w:hint="eastAsia"/>
        </w:rPr>
        <w:t>(B)</w:t>
      </w:r>
      <w:r w:rsidRPr="005B4D1E">
        <w:rPr>
          <w:rFonts w:hint="eastAsia"/>
        </w:rPr>
        <w:t>及熔解曲线</w:t>
      </w:r>
      <w:r w:rsidRPr="005B4D1E">
        <w:rPr>
          <w:rFonts w:hint="eastAsia"/>
        </w:rPr>
        <w:t>(C)</w:t>
      </w:r>
      <w:bookmarkEnd w:id="80"/>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 xml:space="preserve"> 敏感性试验：</w:t>
      </w:r>
      <w:r w:rsidRPr="005B4D1E">
        <w:rPr>
          <w:rFonts w:ascii="宋体" w:eastAsia="宋体" w:hAnsi="宋体" w:hint="eastAsia"/>
          <w:sz w:val="21"/>
          <w:szCs w:val="21"/>
        </w:rPr>
        <w:t>将重组质粒p-IL-2、p-12p40、p-IFN-</w:t>
      </w:r>
      <w:r w:rsidRPr="005B4D1E">
        <w:rPr>
          <w:rFonts w:ascii="宋体" w:eastAsia="宋体" w:hAnsi="宋体"/>
          <w:sz w:val="21"/>
          <w:szCs w:val="21"/>
        </w:rPr>
        <w:t>γ</w:t>
      </w:r>
      <w:r w:rsidRPr="005B4D1E">
        <w:rPr>
          <w:rFonts w:ascii="宋体" w:eastAsia="宋体" w:hAnsi="宋体" w:hint="eastAsia"/>
          <w:sz w:val="21"/>
          <w:szCs w:val="21"/>
        </w:rPr>
        <w:t>、p-IL-4、p-IL-6、p-IL-10、p-Fas、p-FasL、p-TNFR1、p-TNF-</w:t>
      </w:r>
      <w:r w:rsidRPr="005B4D1E">
        <w:rPr>
          <w:rFonts w:ascii="宋体" w:eastAsia="宋体" w:hAnsi="宋体" w:cs="Arial"/>
          <w:sz w:val="21"/>
          <w:szCs w:val="21"/>
        </w:rPr>
        <w:t>α</w:t>
      </w:r>
      <w:r w:rsidRPr="005B4D1E">
        <w:rPr>
          <w:rFonts w:ascii="宋体" w:eastAsia="宋体" w:hAnsi="宋体" w:hint="eastAsia"/>
          <w:sz w:val="21"/>
          <w:szCs w:val="21"/>
        </w:rPr>
        <w:t>和p-</w:t>
      </w:r>
      <w:r w:rsidRPr="005B4D1E">
        <w:rPr>
          <w:rFonts w:ascii="宋体" w:eastAsia="宋体" w:hAnsi="宋体" w:cs="Arial"/>
          <w:sz w:val="21"/>
          <w:szCs w:val="21"/>
        </w:rPr>
        <w:t>β</w:t>
      </w:r>
      <w:r w:rsidRPr="005B4D1E">
        <w:rPr>
          <w:rFonts w:ascii="宋体" w:eastAsia="宋体" w:hAnsi="宋体" w:hint="eastAsia"/>
          <w:sz w:val="21"/>
          <w:szCs w:val="21"/>
        </w:rPr>
        <w:t>-actin按10倍系列稀释成含有1</w:t>
      </w:r>
      <w:r w:rsidRPr="005B4D1E">
        <w:rPr>
          <w:rFonts w:ascii="宋体" w:eastAsia="宋体" w:hAnsi="宋体" w:cs="Arial"/>
          <w:sz w:val="21"/>
          <w:szCs w:val="21"/>
        </w:rPr>
        <w:t>×</w:t>
      </w:r>
      <w:r w:rsidRPr="005B4D1E">
        <w:rPr>
          <w:rFonts w:ascii="宋体" w:eastAsia="宋体" w:hAnsi="宋体" w:hint="eastAsia"/>
          <w:sz w:val="21"/>
          <w:szCs w:val="21"/>
        </w:rPr>
        <w:t>10</w:t>
      </w:r>
      <w:r w:rsidRPr="005B4D1E">
        <w:rPr>
          <w:rFonts w:ascii="宋体" w:eastAsia="宋体" w:hAnsi="宋体" w:hint="eastAsia"/>
          <w:sz w:val="21"/>
          <w:szCs w:val="21"/>
          <w:vertAlign w:val="superscript"/>
        </w:rPr>
        <w:t>0</w:t>
      </w:r>
      <w:r w:rsidRPr="005B4D1E">
        <w:rPr>
          <w:rFonts w:ascii="宋体" w:eastAsia="宋体" w:hAnsi="宋体" w:hint="eastAsia"/>
          <w:sz w:val="21"/>
          <w:szCs w:val="21"/>
        </w:rPr>
        <w:t>～l</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9</w:t>
      </w:r>
      <w:r w:rsidRPr="005B4D1E">
        <w:rPr>
          <w:rFonts w:ascii="宋体" w:eastAsia="宋体" w:hAnsi="宋体" w:hint="eastAsia"/>
          <w:sz w:val="21"/>
          <w:szCs w:val="21"/>
        </w:rPr>
        <w:lastRenderedPageBreak/>
        <w:t>拷贝／</w:t>
      </w:r>
      <w:r w:rsidRPr="005B4D1E">
        <w:rPr>
          <w:rFonts w:ascii="宋体" w:eastAsia="宋体" w:hAnsi="宋体"/>
          <w:sz w:val="21"/>
          <w:szCs w:val="21"/>
        </w:rPr>
        <w:t>µ</w:t>
      </w:r>
      <w:r w:rsidRPr="005B4D1E">
        <w:rPr>
          <w:rFonts w:ascii="宋体" w:eastAsia="宋体" w:hAnsi="宋体" w:hint="eastAsia"/>
          <w:sz w:val="21"/>
          <w:szCs w:val="21"/>
        </w:rPr>
        <w:t>L的10个梯度，以此作为模板进行real-time PCR，确定检出下限。结果，各种重组质粒的检出下限均为1×l0</w:t>
      </w:r>
      <w:r w:rsidRPr="005B4D1E">
        <w:rPr>
          <w:rFonts w:ascii="宋体" w:eastAsia="宋体" w:hAnsi="宋体" w:hint="eastAsia"/>
          <w:sz w:val="21"/>
          <w:szCs w:val="21"/>
          <w:vertAlign w:val="superscript"/>
        </w:rPr>
        <w:t>2</w:t>
      </w:r>
      <w:r w:rsidRPr="005B4D1E">
        <w:rPr>
          <w:rFonts w:ascii="宋体" w:eastAsia="宋体" w:hAnsi="宋体" w:hint="eastAsia"/>
          <w:sz w:val="21"/>
          <w:szCs w:val="21"/>
        </w:rPr>
        <w:t>拷贝／</w:t>
      </w:r>
      <w:r w:rsidRPr="005B4D1E">
        <w:rPr>
          <w:rFonts w:ascii="宋体" w:eastAsia="宋体" w:hAnsi="宋体"/>
          <w:sz w:val="21"/>
          <w:szCs w:val="21"/>
        </w:rPr>
        <w:t>µ</w:t>
      </w:r>
      <w:r w:rsidRPr="005B4D1E">
        <w:rPr>
          <w:rFonts w:ascii="宋体" w:eastAsia="宋体" w:hAnsi="宋体" w:hint="eastAsia"/>
          <w:sz w:val="21"/>
          <w:szCs w:val="21"/>
        </w:rPr>
        <w:t>L。</w:t>
      </w:r>
    </w:p>
    <w:p w:rsidR="009D14A5" w:rsidRPr="005B4D1E" w:rsidRDefault="009D14A5" w:rsidP="005B4D1E">
      <w:pPr>
        <w:tabs>
          <w:tab w:val="left" w:pos="7597"/>
        </w:tabs>
        <w:wordWrap w:val="0"/>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特异性试验：</w:t>
      </w:r>
      <w:r w:rsidRPr="005B4D1E">
        <w:rPr>
          <w:rFonts w:ascii="宋体" w:eastAsia="宋体" w:hAnsi="宋体" w:hint="eastAsia"/>
          <w:sz w:val="21"/>
          <w:szCs w:val="21"/>
        </w:rPr>
        <w:t>以质粒标准品为模板进行real-time PCR扩增，产物进行琼脂糖凝胶电泳分析和熔解曲线分析。琼脂糖凝胶电泳分析（见图38）表明，real-time PCR均能扩增到与预期目的片段大小一致的特异性片段，没有非特异性产物产生。熔解曲线分析表明，每种质粒的熔解曲线都只出现特异性的单峰，没有杂峰形成（见图35-37）。</w:t>
      </w:r>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5063490" cy="3303905"/>
            <wp:effectExtent l="19050" t="0" r="3810" b="0"/>
            <wp:docPr id="66"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75" cstate="print"/>
                    <a:srcRect/>
                    <a:stretch>
                      <a:fillRect/>
                    </a:stretch>
                  </pic:blipFill>
                  <pic:spPr bwMode="auto">
                    <a:xfrm>
                      <a:off x="0" y="0"/>
                      <a:ext cx="5063490" cy="3303905"/>
                    </a:xfrm>
                    <a:prstGeom prst="rect">
                      <a:avLst/>
                    </a:prstGeom>
                    <a:noFill/>
                    <a:ln w="9525">
                      <a:noFill/>
                      <a:miter lim="800000"/>
                      <a:headEnd/>
                      <a:tailEnd/>
                    </a:ln>
                  </pic:spPr>
                </pic:pic>
              </a:graphicData>
            </a:graphic>
          </wp:inline>
        </w:drawing>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M：DNA标准DL3000；1-4：real-time PCR扩增产物；5：空白对照</w:t>
      </w:r>
    </w:p>
    <w:p w:rsidR="009D14A5" w:rsidRPr="005B4D1E" w:rsidRDefault="009D14A5" w:rsidP="00B03D18">
      <w:pPr>
        <w:pStyle w:val="a5"/>
        <w:spacing w:after="156"/>
      </w:pPr>
      <w:bookmarkStart w:id="81" w:name="_Toc405816342"/>
      <w:r w:rsidRPr="005B4D1E">
        <w:rPr>
          <w:rFonts w:hint="eastAsia"/>
        </w:rPr>
        <w:t>图</w:t>
      </w:r>
      <w:r w:rsidR="00B03D18">
        <w:rPr>
          <w:rFonts w:hint="eastAsia"/>
        </w:rPr>
        <w:t xml:space="preserve">38 </w:t>
      </w:r>
      <w:r w:rsidRPr="005B4D1E">
        <w:rPr>
          <w:rFonts w:hint="eastAsia"/>
        </w:rPr>
        <w:t>SYBR Green I real-time PCR</w:t>
      </w:r>
      <w:r w:rsidRPr="005B4D1E">
        <w:rPr>
          <w:rFonts w:hint="eastAsia"/>
        </w:rPr>
        <w:t>的琼脂糖凝胶电泳分析</w:t>
      </w:r>
      <w:bookmarkEnd w:id="81"/>
    </w:p>
    <w:p w:rsidR="009D14A5" w:rsidRPr="005B4D1E" w:rsidRDefault="009D14A5" w:rsidP="009D14A5">
      <w:pPr>
        <w:tabs>
          <w:tab w:val="left" w:pos="7597"/>
        </w:tabs>
        <w:wordWrap w:val="0"/>
        <w:spacing w:line="360" w:lineRule="auto"/>
        <w:rPr>
          <w:rFonts w:ascii="宋体" w:eastAsia="宋体" w:hAnsi="宋体"/>
          <w:b/>
          <w:bCs/>
          <w:sz w:val="21"/>
          <w:szCs w:val="21"/>
        </w:rPr>
      </w:pP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重复性试验：</w:t>
      </w:r>
      <w:r w:rsidRPr="005B4D1E">
        <w:rPr>
          <w:rFonts w:ascii="宋体" w:eastAsia="宋体" w:hAnsi="宋体" w:hint="eastAsia"/>
          <w:sz w:val="21"/>
          <w:szCs w:val="21"/>
        </w:rPr>
        <w:t>将每种质粒标准品稀释成3个浓度梯度（具体浓度见表32），进行组内重复性试验时，每个稀释度重复10孔；进行组间重复性试验时，同1次反应每个稀释度重复4孔。结果，每种质粒的Ct值组内及组间变异系数均小于3.5%（见表32）。</w:t>
      </w:r>
    </w:p>
    <w:p w:rsidR="00B03D18" w:rsidRDefault="00B03D18" w:rsidP="009D14A5">
      <w:pPr>
        <w:tabs>
          <w:tab w:val="left" w:pos="7597"/>
        </w:tabs>
        <w:wordWrap w:val="0"/>
        <w:spacing w:line="360" w:lineRule="auto"/>
        <w:rPr>
          <w:rFonts w:ascii="宋体" w:eastAsia="宋体" w:hAnsi="宋体"/>
          <w:b/>
          <w:bCs/>
          <w:sz w:val="21"/>
          <w:szCs w:val="21"/>
        </w:rPr>
      </w:pPr>
    </w:p>
    <w:p w:rsidR="00B03D18" w:rsidRDefault="00B03D18" w:rsidP="009D14A5">
      <w:pPr>
        <w:tabs>
          <w:tab w:val="left" w:pos="7597"/>
        </w:tabs>
        <w:wordWrap w:val="0"/>
        <w:spacing w:line="360" w:lineRule="auto"/>
        <w:rPr>
          <w:rFonts w:ascii="宋体" w:eastAsia="宋体" w:hAnsi="宋体"/>
          <w:b/>
          <w:bCs/>
          <w:sz w:val="21"/>
          <w:szCs w:val="21"/>
        </w:rPr>
      </w:pPr>
    </w:p>
    <w:p w:rsidR="00B03D18" w:rsidRDefault="00B03D18" w:rsidP="009D14A5">
      <w:pPr>
        <w:tabs>
          <w:tab w:val="left" w:pos="7597"/>
        </w:tabs>
        <w:wordWrap w:val="0"/>
        <w:spacing w:line="360" w:lineRule="auto"/>
        <w:rPr>
          <w:rFonts w:ascii="宋体" w:eastAsia="宋体" w:hAnsi="宋体"/>
          <w:b/>
          <w:bCs/>
          <w:sz w:val="21"/>
          <w:szCs w:val="21"/>
        </w:rPr>
      </w:pPr>
    </w:p>
    <w:p w:rsidR="00B03D18" w:rsidRDefault="00B03D18" w:rsidP="009D14A5">
      <w:pPr>
        <w:tabs>
          <w:tab w:val="left" w:pos="7597"/>
        </w:tabs>
        <w:wordWrap w:val="0"/>
        <w:spacing w:line="360" w:lineRule="auto"/>
        <w:rPr>
          <w:rFonts w:ascii="宋体" w:eastAsia="宋体" w:hAnsi="宋体"/>
          <w:b/>
          <w:bCs/>
          <w:sz w:val="21"/>
          <w:szCs w:val="21"/>
        </w:rPr>
      </w:pPr>
    </w:p>
    <w:p w:rsidR="009D14A5" w:rsidRPr="005B4D1E" w:rsidRDefault="009D14A5" w:rsidP="00B03D18">
      <w:pPr>
        <w:pStyle w:val="a6"/>
        <w:spacing w:before="156"/>
      </w:pPr>
      <w:bookmarkStart w:id="82" w:name="_Toc405816434"/>
      <w:r w:rsidRPr="005B4D1E">
        <w:rPr>
          <w:rFonts w:hint="eastAsia"/>
        </w:rPr>
        <w:lastRenderedPageBreak/>
        <w:t>表</w:t>
      </w:r>
      <w:r w:rsidR="00B03D18">
        <w:rPr>
          <w:rFonts w:hint="eastAsia"/>
        </w:rPr>
        <w:t xml:space="preserve">32 </w:t>
      </w:r>
      <w:r w:rsidRPr="005B4D1E">
        <w:rPr>
          <w:rFonts w:hint="eastAsia"/>
        </w:rPr>
        <w:t>SYBR Green I real-time PCR</w:t>
      </w:r>
      <w:r w:rsidRPr="005B4D1E">
        <w:rPr>
          <w:rFonts w:hint="eastAsia"/>
        </w:rPr>
        <w:t>的重复性分析</w:t>
      </w:r>
      <w:bookmarkEnd w:id="82"/>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4511675" cy="5339715"/>
            <wp:effectExtent l="19050" t="0" r="3175"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76" cstate="print"/>
                    <a:srcRect/>
                    <a:stretch>
                      <a:fillRect/>
                    </a:stretch>
                  </pic:blipFill>
                  <pic:spPr bwMode="auto">
                    <a:xfrm>
                      <a:off x="0" y="0"/>
                      <a:ext cx="4511675" cy="5339715"/>
                    </a:xfrm>
                    <a:prstGeom prst="rect">
                      <a:avLst/>
                    </a:prstGeom>
                    <a:noFill/>
                    <a:ln w="9525">
                      <a:noFill/>
                      <a:miter lim="800000"/>
                      <a:headEnd/>
                      <a:tailEnd/>
                    </a:ln>
                  </pic:spPr>
                </pic:pic>
              </a:graphicData>
            </a:graphic>
          </wp:inline>
        </w:drawing>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病毒接种：</w:t>
      </w:r>
      <w:r w:rsidRPr="005B4D1E">
        <w:rPr>
          <w:rFonts w:ascii="宋体" w:eastAsia="宋体" w:hAnsi="宋体" w:hint="eastAsia"/>
          <w:sz w:val="21"/>
          <w:szCs w:val="21"/>
        </w:rPr>
        <w:t>将10头6周龄健康仔猪随机分为2组，每组5头。对照组经口、鼻接种5mL RPMI-1640培养基，试验组经口、鼻接种5mL PRRSV(HB-2(sh)/2002株，毒价为l0</w:t>
      </w:r>
      <w:r w:rsidRPr="005B4D1E">
        <w:rPr>
          <w:rFonts w:ascii="宋体" w:eastAsia="宋体" w:hAnsi="宋体" w:hint="eastAsia"/>
          <w:sz w:val="21"/>
          <w:szCs w:val="21"/>
          <w:vertAlign w:val="superscript"/>
        </w:rPr>
        <w:t>6.85</w:t>
      </w:r>
      <w:r w:rsidRPr="005B4D1E">
        <w:rPr>
          <w:rFonts w:ascii="宋体" w:eastAsia="宋体" w:hAnsi="宋体" w:hint="eastAsia"/>
          <w:sz w:val="21"/>
          <w:szCs w:val="21"/>
        </w:rPr>
        <w:t>TCID</w:t>
      </w:r>
      <w:r w:rsidRPr="005B4D1E">
        <w:rPr>
          <w:rFonts w:ascii="宋体" w:eastAsia="宋体" w:hAnsi="宋体" w:hint="eastAsia"/>
          <w:sz w:val="21"/>
          <w:szCs w:val="21"/>
          <w:vertAlign w:val="subscript"/>
        </w:rPr>
        <w:t>50</w:t>
      </w:r>
      <w:r w:rsidRPr="005B4D1E">
        <w:rPr>
          <w:rFonts w:ascii="宋体" w:eastAsia="宋体" w:hAnsi="宋体" w:hint="eastAsia"/>
          <w:sz w:val="21"/>
          <w:szCs w:val="21"/>
        </w:rPr>
        <w:t>/mL)细胞毒。分别于接种前（0天）和接种后3、7、10、．14、21、28、35、42和49天(days post-infection，DPI)经前腔静脉采集5mL血液用于分离血清、采集10mL血液（用EDTA抗凝）分离外周血单核细胞(PBMC)。</w:t>
      </w:r>
    </w:p>
    <w:p w:rsidR="009D14A5" w:rsidRPr="005B4D1E" w:rsidRDefault="009D14A5" w:rsidP="005B4D1E">
      <w:pPr>
        <w:tabs>
          <w:tab w:val="left" w:pos="7597"/>
        </w:tabs>
        <w:wordWrap w:val="0"/>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血清病毒载量及抗体效价测定：</w:t>
      </w:r>
      <w:r w:rsidRPr="005B4D1E">
        <w:rPr>
          <w:rFonts w:ascii="宋体" w:eastAsia="宋体" w:hAnsi="宋体" w:hint="eastAsia"/>
          <w:sz w:val="21"/>
          <w:szCs w:val="21"/>
        </w:rPr>
        <w:t>利用本实验室根据PRRSV基因序列设计引物PRRSVf：5</w:t>
      </w:r>
      <w:r w:rsidRPr="005B4D1E">
        <w:rPr>
          <w:rFonts w:ascii="宋体" w:eastAsia="宋体" w:hAnsi="宋体"/>
          <w:sz w:val="21"/>
          <w:szCs w:val="21"/>
        </w:rPr>
        <w:t>′</w:t>
      </w:r>
      <w:r w:rsidRPr="005B4D1E">
        <w:rPr>
          <w:rFonts w:ascii="宋体" w:eastAsia="宋体" w:hAnsi="宋体" w:hint="eastAsia"/>
          <w:sz w:val="21"/>
          <w:szCs w:val="21"/>
        </w:rPr>
        <w:t>-CAAATAACAACGGCAAGCAG-3</w:t>
      </w:r>
      <w:r w:rsidRPr="005B4D1E">
        <w:rPr>
          <w:rFonts w:ascii="宋体" w:eastAsia="宋体" w:hAnsi="宋体"/>
          <w:sz w:val="21"/>
          <w:szCs w:val="21"/>
        </w:rPr>
        <w:t>′</w:t>
      </w:r>
      <w:r w:rsidRPr="005B4D1E">
        <w:rPr>
          <w:rFonts w:ascii="宋体" w:eastAsia="宋体" w:hAnsi="宋体" w:hint="eastAsia"/>
          <w:sz w:val="21"/>
          <w:szCs w:val="21"/>
        </w:rPr>
        <w:t>，PRRSVr：5</w:t>
      </w:r>
      <w:r w:rsidRPr="005B4D1E">
        <w:rPr>
          <w:rFonts w:ascii="宋体" w:eastAsia="宋体" w:hAnsi="宋体"/>
          <w:sz w:val="21"/>
          <w:szCs w:val="21"/>
        </w:rPr>
        <w:t>′</w:t>
      </w:r>
      <w:r w:rsidRPr="005B4D1E">
        <w:rPr>
          <w:rFonts w:ascii="宋体" w:eastAsia="宋体" w:hAnsi="宋体" w:hint="eastAsia"/>
          <w:sz w:val="21"/>
          <w:szCs w:val="21"/>
        </w:rPr>
        <w:t>-AAACTCCACAGCGTAACTTATC-3</w:t>
      </w:r>
      <w:r w:rsidRPr="005B4D1E">
        <w:rPr>
          <w:rFonts w:ascii="宋体" w:eastAsia="宋体" w:hAnsi="宋体"/>
          <w:sz w:val="21"/>
          <w:szCs w:val="21"/>
        </w:rPr>
        <w:t>′</w:t>
      </w:r>
      <w:r w:rsidRPr="005B4D1E">
        <w:rPr>
          <w:rFonts w:ascii="宋体" w:eastAsia="宋体" w:hAnsi="宋体" w:hint="eastAsia"/>
          <w:sz w:val="21"/>
          <w:szCs w:val="21"/>
        </w:rPr>
        <w:t>，扩增PRRSV ORF7基因的308bp片段、构建重组标准质粒及优化反应条件后建立的PRRSV SYBR Green I real-time RT-PCR检测方法，检测血清病毒载量。结果，所有PRRSV接种猪在3 DPI即可检测到大量病毒，其中3头可检出病毒到28 DPI，另2头42DPI仍能检测到病毒，而49 DPI时全部试验猪均检测不到病毒（图</w:t>
      </w:r>
      <w:smartTag w:uri="urn:schemas-microsoft-com:office:smarttags" w:element="chmetcnv">
        <w:smartTagPr>
          <w:attr w:name="TCSC" w:val="0"/>
          <w:attr w:name="NumberType" w:val="1"/>
          <w:attr w:name="Negative" w:val="False"/>
          <w:attr w:name="HasSpace" w:val="False"/>
          <w:attr w:name="SourceValue" w:val="39"/>
          <w:attr w:name="UnitName" w:val="a"/>
        </w:smartTagPr>
        <w:r w:rsidRPr="005B4D1E">
          <w:rPr>
            <w:rFonts w:ascii="宋体" w:eastAsia="宋体" w:hAnsi="宋体" w:hint="eastAsia"/>
            <w:sz w:val="21"/>
            <w:szCs w:val="21"/>
          </w:rPr>
          <w:t>39A</w:t>
        </w:r>
      </w:smartTag>
      <w:r w:rsidRPr="005B4D1E">
        <w:rPr>
          <w:rFonts w:ascii="宋体" w:eastAsia="宋体" w:hAnsi="宋体" w:hint="eastAsia"/>
          <w:sz w:val="21"/>
          <w:szCs w:val="21"/>
        </w:rPr>
        <w:t>）。</w:t>
      </w:r>
    </w:p>
    <w:p w:rsidR="009D14A5" w:rsidRPr="005B4D1E" w:rsidRDefault="009D14A5" w:rsidP="005B4D1E">
      <w:pPr>
        <w:tabs>
          <w:tab w:val="left" w:pos="7597"/>
        </w:tabs>
        <w:wordWrap w:val="0"/>
        <w:spacing w:line="360" w:lineRule="auto"/>
        <w:ind w:firstLineChars="200" w:firstLine="420"/>
        <w:rPr>
          <w:rFonts w:ascii="宋体" w:eastAsia="宋体" w:hAnsi="宋体"/>
          <w:sz w:val="21"/>
          <w:szCs w:val="21"/>
        </w:rPr>
      </w:pPr>
      <w:r w:rsidRPr="005B4D1E">
        <w:rPr>
          <w:rFonts w:ascii="宋体" w:eastAsia="宋体" w:hAnsi="宋体" w:hint="eastAsia"/>
          <w:sz w:val="21"/>
          <w:szCs w:val="21"/>
        </w:rPr>
        <w:lastRenderedPageBreak/>
        <w:t>利用IDEXX公司的PRRSV Antibody Test Kit对血清中的PRRSV抗体进行检测，结果有1头试验猪于7DPI抗体转阳，到10DPI全部转阳，抗体效价稳步升高，直到49 DPI试验结束（图39B）。</w:t>
      </w:r>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4287520" cy="1828800"/>
            <wp:effectExtent l="1905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pic:cNvPicPr>
                      <a:picLocks noChangeAspect="1" noChangeArrowheads="1"/>
                    </pic:cNvPicPr>
                  </pic:nvPicPr>
                  <pic:blipFill>
                    <a:blip r:embed="rId77" cstate="print"/>
                    <a:srcRect/>
                    <a:stretch>
                      <a:fillRect/>
                    </a:stretch>
                  </pic:blipFill>
                  <pic:spPr bwMode="auto">
                    <a:xfrm>
                      <a:off x="0" y="0"/>
                      <a:ext cx="4287520" cy="1828800"/>
                    </a:xfrm>
                    <a:prstGeom prst="rect">
                      <a:avLst/>
                    </a:prstGeom>
                    <a:noFill/>
                    <a:ln w="9525">
                      <a:noFill/>
                      <a:miter lim="800000"/>
                      <a:headEnd/>
                      <a:tailEnd/>
                    </a:ln>
                  </pic:spPr>
                </pic:pic>
              </a:graphicData>
            </a:graphic>
          </wp:inline>
        </w:drawing>
      </w:r>
    </w:p>
    <w:p w:rsidR="009D14A5" w:rsidRPr="005B4D1E" w:rsidRDefault="009D14A5" w:rsidP="00B03D18">
      <w:pPr>
        <w:pStyle w:val="a5"/>
        <w:spacing w:after="156"/>
      </w:pPr>
      <w:bookmarkStart w:id="83" w:name="_Toc405816343"/>
      <w:r w:rsidRPr="005B4D1E">
        <w:rPr>
          <w:rFonts w:hint="eastAsia"/>
        </w:rPr>
        <w:t>图</w:t>
      </w:r>
      <w:r w:rsidR="00B03D18">
        <w:rPr>
          <w:rFonts w:hint="eastAsia"/>
        </w:rPr>
        <w:t xml:space="preserve">39 </w:t>
      </w:r>
      <w:r w:rsidRPr="005B4D1E">
        <w:rPr>
          <w:rFonts w:hint="eastAsia"/>
        </w:rPr>
        <w:t>感染仔猪血清病毒载量</w:t>
      </w:r>
      <w:r w:rsidRPr="005B4D1E">
        <w:rPr>
          <w:rFonts w:hint="eastAsia"/>
        </w:rPr>
        <w:t>(A)</w:t>
      </w:r>
      <w:r w:rsidRPr="005B4D1E">
        <w:rPr>
          <w:rFonts w:hint="eastAsia"/>
        </w:rPr>
        <w:t>及抗体效价</w:t>
      </w:r>
      <w:r w:rsidRPr="005B4D1E">
        <w:rPr>
          <w:rFonts w:hint="eastAsia"/>
        </w:rPr>
        <w:t>(B)</w:t>
      </w:r>
      <w:bookmarkEnd w:id="83"/>
    </w:p>
    <w:p w:rsidR="009D14A5" w:rsidRPr="005B4D1E" w:rsidRDefault="009D14A5" w:rsidP="009D14A5">
      <w:pPr>
        <w:tabs>
          <w:tab w:val="left" w:pos="7597"/>
        </w:tabs>
        <w:wordWrap w:val="0"/>
        <w:spacing w:line="360" w:lineRule="auto"/>
        <w:rPr>
          <w:rFonts w:ascii="宋体" w:eastAsia="宋体" w:hAnsi="宋体"/>
          <w:sz w:val="21"/>
          <w:szCs w:val="21"/>
        </w:rPr>
      </w:pP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 xml:space="preserve">  PBMC病毒载量及凋亡率检测：</w:t>
      </w:r>
      <w:r w:rsidRPr="005B4D1E">
        <w:rPr>
          <w:rFonts w:ascii="宋体" w:eastAsia="宋体" w:hAnsi="宋体" w:hint="eastAsia"/>
          <w:sz w:val="21"/>
          <w:szCs w:val="21"/>
        </w:rPr>
        <w:t>利用Histopaque-1.077白细胞分离液采取密度梯度离心法分离PBMC，经台盼蓝拒染计数后，取5</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个PBMC，采用RNAeasy Mini Kit提取总RNA，应用AMV反转录酶，以Oligo(dT)</w:t>
      </w:r>
      <w:r w:rsidRPr="005B4D1E">
        <w:rPr>
          <w:rFonts w:ascii="宋体" w:eastAsia="宋体" w:hAnsi="宋体" w:hint="eastAsia"/>
          <w:sz w:val="21"/>
          <w:szCs w:val="21"/>
          <w:vertAlign w:val="subscript"/>
        </w:rPr>
        <w:t>18</w:t>
      </w:r>
      <w:r w:rsidRPr="005B4D1E">
        <w:rPr>
          <w:rFonts w:ascii="宋体" w:eastAsia="宋体" w:hAnsi="宋体" w:hint="eastAsia"/>
          <w:sz w:val="21"/>
          <w:szCs w:val="21"/>
        </w:rPr>
        <w:t>为下游引物进行反转录获得cDNA，用于检测PRRSV拷贝数。结果，PRRSV接种猪在感染后第3d即可检测到大量病毒，第10d达到高峰，直到第49d仍可检测到PRRSV核酸（图</w:t>
      </w:r>
      <w:smartTag w:uri="urn:schemas-microsoft-com:office:smarttags" w:element="chmetcnv">
        <w:smartTagPr>
          <w:attr w:name="TCSC" w:val="0"/>
          <w:attr w:name="NumberType" w:val="1"/>
          <w:attr w:name="Negative" w:val="False"/>
          <w:attr w:name="HasSpace" w:val="False"/>
          <w:attr w:name="SourceValue" w:val="40"/>
          <w:attr w:name="UnitName" w:val="a"/>
        </w:smartTagPr>
        <w:r w:rsidRPr="005B4D1E">
          <w:rPr>
            <w:rFonts w:ascii="宋体" w:eastAsia="宋体" w:hAnsi="宋体" w:hint="eastAsia"/>
            <w:sz w:val="21"/>
            <w:szCs w:val="21"/>
          </w:rPr>
          <w:t>40A</w:t>
        </w:r>
      </w:smartTag>
      <w:r w:rsidRPr="005B4D1E">
        <w:rPr>
          <w:rFonts w:ascii="宋体" w:eastAsia="宋体" w:hAnsi="宋体" w:hint="eastAsia"/>
          <w:sz w:val="21"/>
          <w:szCs w:val="21"/>
        </w:rPr>
        <w:t>）</w:t>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用10%RPMI-1640营养液将PBMC浓度调至1</w:t>
      </w:r>
      <w:r w:rsidRPr="005B4D1E">
        <w:rPr>
          <w:rFonts w:ascii="宋体" w:eastAsia="宋体" w:hAnsi="宋体" w:cs="Arial"/>
          <w:sz w:val="21"/>
          <w:szCs w:val="21"/>
        </w:rPr>
        <w:t>×</w:t>
      </w:r>
      <w:r w:rsidRPr="005B4D1E">
        <w:rPr>
          <w:rFonts w:ascii="宋体" w:eastAsia="宋体" w:hAnsi="宋体" w:hint="eastAsia"/>
          <w:sz w:val="21"/>
          <w:szCs w:val="21"/>
        </w:rPr>
        <w:t>l0</w:t>
      </w:r>
      <w:r w:rsidRPr="005B4D1E">
        <w:rPr>
          <w:rFonts w:ascii="宋体" w:eastAsia="宋体" w:hAnsi="宋体" w:hint="eastAsia"/>
          <w:sz w:val="21"/>
          <w:szCs w:val="21"/>
          <w:vertAlign w:val="superscript"/>
        </w:rPr>
        <w:t>7</w:t>
      </w:r>
      <w:r w:rsidRPr="005B4D1E">
        <w:rPr>
          <w:rFonts w:ascii="宋体" w:eastAsia="宋体" w:hAnsi="宋体" w:hint="eastAsia"/>
          <w:sz w:val="21"/>
          <w:szCs w:val="21"/>
        </w:rPr>
        <w:t>/mL，按照Bender MedSystems公司Annexin V/FITC Kit说明书染色细胞后，应用EPICS</w:t>
      </w:r>
      <w:r w:rsidRPr="005B4D1E">
        <w:rPr>
          <w:rFonts w:ascii="宋体" w:eastAsia="宋体" w:hAnsi="宋体" w:hint="eastAsia"/>
          <w:sz w:val="21"/>
          <w:szCs w:val="21"/>
          <w:vertAlign w:val="superscript"/>
        </w:rPr>
        <w:t>TM</w:t>
      </w:r>
      <w:r w:rsidRPr="005B4D1E">
        <w:rPr>
          <w:rFonts w:ascii="宋体" w:eastAsia="宋体" w:hAnsi="宋体" w:hint="eastAsia"/>
          <w:sz w:val="21"/>
          <w:szCs w:val="21"/>
        </w:rPr>
        <w:t xml:space="preserve"> Elite型流式细胞仪检测至少10000个细胞。FITC</w:t>
      </w:r>
      <w:r w:rsidRPr="005B4D1E">
        <w:rPr>
          <w:rFonts w:ascii="宋体" w:eastAsia="宋体" w:hAnsi="宋体" w:hint="eastAsia"/>
          <w:sz w:val="21"/>
          <w:szCs w:val="21"/>
          <w:vertAlign w:val="superscript"/>
        </w:rPr>
        <w:t>+</w:t>
      </w:r>
      <w:r w:rsidRPr="005B4D1E">
        <w:rPr>
          <w:rFonts w:ascii="宋体" w:eastAsia="宋体" w:hAnsi="宋体" w:hint="eastAsia"/>
          <w:sz w:val="21"/>
          <w:szCs w:val="21"/>
        </w:rPr>
        <w:t>/PI</w:t>
      </w:r>
      <w:r w:rsidRPr="005B4D1E">
        <w:rPr>
          <w:rFonts w:ascii="宋体" w:eastAsia="宋体" w:hAnsi="宋体" w:hint="eastAsia"/>
          <w:sz w:val="21"/>
          <w:szCs w:val="21"/>
          <w:vertAlign w:val="superscript"/>
        </w:rPr>
        <w:t>-</w:t>
      </w:r>
      <w:r w:rsidRPr="005B4D1E">
        <w:rPr>
          <w:rFonts w:ascii="宋体" w:eastAsia="宋体" w:hAnsi="宋体" w:hint="eastAsia"/>
          <w:sz w:val="21"/>
          <w:szCs w:val="21"/>
        </w:rPr>
        <w:t>者为早期凋亡细胞。结果，病毒感染早期凋亡比率迅速提高，然后有所下降，最后重新上升，在感染后第3、7、10、14、42和49d显著高于对照组（图40B）</w:t>
      </w:r>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4382135" cy="1915160"/>
            <wp:effectExtent l="1905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78" cstate="print"/>
                    <a:srcRect/>
                    <a:stretch>
                      <a:fillRect/>
                    </a:stretch>
                  </pic:blipFill>
                  <pic:spPr bwMode="auto">
                    <a:xfrm>
                      <a:off x="0" y="0"/>
                      <a:ext cx="4382135" cy="1915160"/>
                    </a:xfrm>
                    <a:prstGeom prst="rect">
                      <a:avLst/>
                    </a:prstGeom>
                    <a:noFill/>
                    <a:ln w="9525">
                      <a:noFill/>
                      <a:miter lim="800000"/>
                      <a:headEnd/>
                      <a:tailEnd/>
                    </a:ln>
                  </pic:spPr>
                </pic:pic>
              </a:graphicData>
            </a:graphic>
          </wp:inline>
        </w:drawing>
      </w:r>
    </w:p>
    <w:p w:rsidR="009D14A5" w:rsidRPr="005B4D1E" w:rsidRDefault="009D14A5" w:rsidP="00B03D18">
      <w:pPr>
        <w:pStyle w:val="a5"/>
        <w:spacing w:after="156"/>
      </w:pPr>
      <w:bookmarkStart w:id="84" w:name="_Toc405816344"/>
      <w:r w:rsidRPr="005B4D1E">
        <w:rPr>
          <w:rFonts w:hint="eastAsia"/>
        </w:rPr>
        <w:t>图</w:t>
      </w:r>
      <w:r w:rsidRPr="005B4D1E">
        <w:rPr>
          <w:rFonts w:hint="eastAsia"/>
        </w:rPr>
        <w:t>40</w:t>
      </w:r>
      <w:r w:rsidR="00B03D18">
        <w:rPr>
          <w:rFonts w:hint="eastAsia"/>
        </w:rPr>
        <w:t xml:space="preserve"> </w:t>
      </w:r>
      <w:r w:rsidRPr="005B4D1E">
        <w:rPr>
          <w:rFonts w:hint="eastAsia"/>
        </w:rPr>
        <w:t>感染仔猪</w:t>
      </w:r>
      <w:r w:rsidRPr="005B4D1E">
        <w:rPr>
          <w:rFonts w:hint="eastAsia"/>
        </w:rPr>
        <w:t>PBMC</w:t>
      </w:r>
      <w:r w:rsidRPr="005B4D1E">
        <w:rPr>
          <w:rFonts w:hint="eastAsia"/>
        </w:rPr>
        <w:t>病毒载量</w:t>
      </w:r>
      <w:r w:rsidRPr="005B4D1E">
        <w:rPr>
          <w:rFonts w:hint="eastAsia"/>
        </w:rPr>
        <w:t>(A)</w:t>
      </w:r>
      <w:r w:rsidRPr="005B4D1E">
        <w:rPr>
          <w:rFonts w:hint="eastAsia"/>
        </w:rPr>
        <w:t>及凋亡比率</w:t>
      </w:r>
      <w:r w:rsidRPr="005B4D1E">
        <w:rPr>
          <w:rFonts w:hint="eastAsia"/>
        </w:rPr>
        <w:t>(B)</w:t>
      </w:r>
      <w:bookmarkEnd w:id="84"/>
    </w:p>
    <w:p w:rsidR="009D14A5" w:rsidRPr="005B4D1E" w:rsidRDefault="009D14A5" w:rsidP="009D14A5">
      <w:pPr>
        <w:tabs>
          <w:tab w:val="left" w:pos="7597"/>
        </w:tabs>
        <w:wordWrap w:val="0"/>
        <w:spacing w:line="360" w:lineRule="auto"/>
        <w:rPr>
          <w:rFonts w:ascii="宋体" w:eastAsia="宋体" w:hAnsi="宋体"/>
          <w:sz w:val="21"/>
          <w:szCs w:val="21"/>
        </w:rPr>
      </w:pP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lastRenderedPageBreak/>
        <w:t xml:space="preserve">   </w:t>
      </w:r>
      <w:r w:rsidRPr="005B4D1E">
        <w:rPr>
          <w:rFonts w:ascii="宋体" w:eastAsia="宋体" w:hAnsi="宋体" w:hint="eastAsia"/>
          <w:b/>
          <w:sz w:val="21"/>
          <w:szCs w:val="21"/>
        </w:rPr>
        <w:t xml:space="preserve"> PBMC中细胞因子mRNA表达水平检测：</w:t>
      </w:r>
      <w:r w:rsidRPr="005B4D1E">
        <w:rPr>
          <w:rFonts w:ascii="宋体" w:eastAsia="宋体" w:hAnsi="宋体" w:hint="eastAsia"/>
          <w:sz w:val="21"/>
          <w:szCs w:val="21"/>
        </w:rPr>
        <w:t>用10%RPMI-1640营养液将PBMC调整至5×l0</w:t>
      </w:r>
      <w:r w:rsidRPr="005B4D1E">
        <w:rPr>
          <w:rFonts w:ascii="宋体" w:eastAsia="宋体" w:hAnsi="宋体" w:hint="eastAsia"/>
          <w:sz w:val="21"/>
          <w:szCs w:val="21"/>
          <w:vertAlign w:val="superscript"/>
        </w:rPr>
        <w:t>6</w:t>
      </w:r>
      <w:r w:rsidRPr="005B4D1E">
        <w:rPr>
          <w:rFonts w:ascii="宋体" w:eastAsia="宋体" w:hAnsi="宋体" w:hint="eastAsia"/>
          <w:sz w:val="21"/>
          <w:szCs w:val="21"/>
        </w:rPr>
        <w:t>个／mL，分装24孔细胞培养板（1mL／孔），加入Con A至终浓度为10</w:t>
      </w:r>
      <w:r w:rsidRPr="005B4D1E">
        <w:rPr>
          <w:rFonts w:ascii="宋体" w:eastAsia="宋体" w:hAnsi="宋体"/>
          <w:sz w:val="21"/>
          <w:szCs w:val="21"/>
        </w:rPr>
        <w:t>µ</w:t>
      </w:r>
      <w:r w:rsidRPr="005B4D1E">
        <w:rPr>
          <w:rFonts w:ascii="宋体" w:eastAsia="宋体" w:hAnsi="宋体" w:hint="eastAsia"/>
          <w:sz w:val="21"/>
          <w:szCs w:val="21"/>
        </w:rPr>
        <w:t>g/mL，于50mL/L C0</w:t>
      </w:r>
      <w:r w:rsidRPr="005B4D1E">
        <w:rPr>
          <w:rFonts w:ascii="宋体" w:eastAsia="宋体" w:hAnsi="宋体" w:hint="eastAsia"/>
          <w:sz w:val="21"/>
          <w:szCs w:val="21"/>
          <w:vertAlign w:val="subscript"/>
        </w:rPr>
        <w:t>2</w:t>
      </w:r>
      <w:r w:rsidRPr="005B4D1E">
        <w:rPr>
          <w:rFonts w:ascii="宋体" w:eastAsia="宋体" w:hAnsi="宋体" w:hint="eastAsia"/>
          <w:sz w:val="21"/>
          <w:szCs w:val="21"/>
        </w:rPr>
        <w:t>、</w:t>
      </w:r>
      <w:smartTag w:uri="urn:schemas-microsoft-com:office:smarttags" w:element="chmetcnv">
        <w:smartTagPr>
          <w:attr w:name="TCSC" w:val="0"/>
          <w:attr w:name="NumberType" w:val="1"/>
          <w:attr w:name="Negative" w:val="False"/>
          <w:attr w:name="HasSpace" w:val="False"/>
          <w:attr w:name="SourceValue" w:val="37"/>
          <w:attr w:name="UnitName" w:val="℃"/>
        </w:smartTagPr>
        <w:r w:rsidRPr="005B4D1E">
          <w:rPr>
            <w:rFonts w:ascii="宋体" w:eastAsia="宋体" w:hAnsi="宋体" w:hint="eastAsia"/>
            <w:sz w:val="21"/>
            <w:szCs w:val="21"/>
          </w:rPr>
          <w:t>37</w:t>
        </w:r>
        <w:r w:rsidRPr="005B4D1E">
          <w:rPr>
            <w:rFonts w:ascii="宋体" w:eastAsia="宋体" w:hAnsi="宋体" w:cs="Arial"/>
            <w:sz w:val="21"/>
            <w:szCs w:val="21"/>
          </w:rPr>
          <w:t>℃</w:t>
        </w:r>
      </w:smartTag>
      <w:r w:rsidRPr="005B4D1E">
        <w:rPr>
          <w:rFonts w:ascii="宋体" w:eastAsia="宋体" w:hAnsi="宋体" w:hint="eastAsia"/>
          <w:sz w:val="21"/>
          <w:szCs w:val="21"/>
        </w:rPr>
        <w:t>培养24h。收获细胞，采用RNAeasy Mini Kit提取总RNA，应用AMV反转录酶，以Oligo (dT)</w:t>
      </w:r>
      <w:r w:rsidRPr="005B4D1E">
        <w:rPr>
          <w:rFonts w:ascii="宋体" w:eastAsia="宋体" w:hAnsi="宋体" w:hint="eastAsia"/>
          <w:sz w:val="21"/>
          <w:szCs w:val="21"/>
          <w:vertAlign w:val="subscript"/>
        </w:rPr>
        <w:t>18</w:t>
      </w:r>
      <w:r w:rsidRPr="005B4D1E">
        <w:rPr>
          <w:rFonts w:ascii="宋体" w:eastAsia="宋体" w:hAnsi="宋体" w:hint="eastAsia"/>
          <w:sz w:val="21"/>
          <w:szCs w:val="21"/>
        </w:rPr>
        <w:t>为下游引物进行反转录获得cDNA。取总cDNA作为模板，建立20</w:t>
      </w:r>
      <w:r w:rsidRPr="005B4D1E">
        <w:rPr>
          <w:rFonts w:ascii="宋体" w:eastAsia="宋体" w:hAnsi="宋体"/>
          <w:sz w:val="21"/>
          <w:szCs w:val="21"/>
        </w:rPr>
        <w:t>µ</w:t>
      </w:r>
      <w:r w:rsidRPr="005B4D1E">
        <w:rPr>
          <w:rFonts w:ascii="宋体" w:eastAsia="宋体" w:hAnsi="宋体" w:hint="eastAsia"/>
          <w:sz w:val="21"/>
          <w:szCs w:val="21"/>
        </w:rPr>
        <w:t>L反应体系(SYBR</w:t>
      </w:r>
      <w:r w:rsidRPr="005B4D1E">
        <w:rPr>
          <w:rFonts w:ascii="宋体" w:eastAsia="宋体" w:hAnsi="宋体"/>
          <w:sz w:val="21"/>
          <w:szCs w:val="21"/>
          <w:vertAlign w:val="superscript"/>
        </w:rPr>
        <w:t>®</w:t>
      </w:r>
      <w:r w:rsidRPr="005B4D1E">
        <w:rPr>
          <w:rFonts w:ascii="宋体" w:eastAsia="宋体" w:hAnsi="宋体" w:hint="eastAsia"/>
          <w:sz w:val="21"/>
          <w:szCs w:val="21"/>
        </w:rPr>
        <w:t>Green Realtime PCR Master Mix 10</w:t>
      </w:r>
      <w:r w:rsidRPr="005B4D1E">
        <w:rPr>
          <w:rFonts w:ascii="宋体" w:eastAsia="宋体" w:hAnsi="宋体"/>
          <w:sz w:val="21"/>
          <w:szCs w:val="21"/>
        </w:rPr>
        <w:t>µ</w:t>
      </w:r>
      <w:r w:rsidRPr="005B4D1E">
        <w:rPr>
          <w:rFonts w:ascii="宋体" w:eastAsia="宋体" w:hAnsi="宋体" w:hint="eastAsia"/>
          <w:sz w:val="21"/>
          <w:szCs w:val="21"/>
        </w:rPr>
        <w:t>L，上、下游引物(25pmol/</w:t>
      </w:r>
      <w:r w:rsidRPr="005B4D1E">
        <w:rPr>
          <w:rFonts w:ascii="宋体" w:eastAsia="宋体" w:hAnsi="宋体"/>
          <w:sz w:val="21"/>
          <w:szCs w:val="21"/>
        </w:rPr>
        <w:t>µ</w:t>
      </w:r>
      <w:r w:rsidRPr="005B4D1E">
        <w:rPr>
          <w:rFonts w:ascii="宋体" w:eastAsia="宋体" w:hAnsi="宋体" w:hint="eastAsia"/>
          <w:sz w:val="21"/>
          <w:szCs w:val="21"/>
        </w:rPr>
        <w:t>L)各0.5</w:t>
      </w:r>
      <w:r w:rsidRPr="005B4D1E">
        <w:rPr>
          <w:rFonts w:ascii="宋体" w:eastAsia="宋体" w:hAnsi="宋体"/>
          <w:sz w:val="21"/>
          <w:szCs w:val="21"/>
        </w:rPr>
        <w:t>µ</w:t>
      </w:r>
      <w:r w:rsidRPr="005B4D1E">
        <w:rPr>
          <w:rFonts w:ascii="宋体" w:eastAsia="宋体" w:hAnsi="宋体" w:hint="eastAsia"/>
          <w:sz w:val="21"/>
          <w:szCs w:val="21"/>
        </w:rPr>
        <w:t>L，cDNA模板1</w:t>
      </w:r>
      <w:r w:rsidRPr="005B4D1E">
        <w:rPr>
          <w:rFonts w:ascii="宋体" w:eastAsia="宋体" w:hAnsi="宋体"/>
          <w:sz w:val="21"/>
          <w:szCs w:val="21"/>
        </w:rPr>
        <w:t>µ</w:t>
      </w:r>
      <w:r w:rsidRPr="005B4D1E">
        <w:rPr>
          <w:rFonts w:ascii="宋体" w:eastAsia="宋体" w:hAnsi="宋体" w:hint="eastAsia"/>
          <w:sz w:val="21"/>
          <w:szCs w:val="21"/>
        </w:rPr>
        <w:t>L，ddH2O8</w:t>
      </w:r>
      <w:r w:rsidRPr="005B4D1E">
        <w:rPr>
          <w:rFonts w:ascii="宋体" w:eastAsia="宋体" w:hAnsi="宋体"/>
          <w:sz w:val="21"/>
          <w:szCs w:val="21"/>
        </w:rPr>
        <w:t>µ</w:t>
      </w:r>
      <w:r w:rsidRPr="005B4D1E">
        <w:rPr>
          <w:rFonts w:ascii="宋体" w:eastAsia="宋体" w:hAnsi="宋体" w:hint="eastAsia"/>
          <w:sz w:val="21"/>
          <w:szCs w:val="21"/>
        </w:rPr>
        <w:t>L），检测样本中Th1型(IL-2、IL-12p40、IFN-</w:t>
      </w:r>
      <w:r w:rsidRPr="005B4D1E">
        <w:rPr>
          <w:rFonts w:ascii="宋体" w:eastAsia="宋体" w:hAnsi="宋体"/>
          <w:sz w:val="21"/>
          <w:szCs w:val="21"/>
        </w:rPr>
        <w:t>γ</w:t>
      </w:r>
      <w:r w:rsidRPr="005B4D1E">
        <w:rPr>
          <w:rFonts w:ascii="宋体" w:eastAsia="宋体" w:hAnsi="宋体" w:hint="eastAsia"/>
          <w:sz w:val="21"/>
          <w:szCs w:val="21"/>
        </w:rPr>
        <w:t>)、Th2型(IL-4、IL-6、</w:t>
      </w:r>
      <w:smartTag w:uri="urn:schemas-microsoft-com:office:smarttags" w:element="chmetcnv">
        <w:smartTagPr>
          <w:attr w:name="TCSC" w:val="0"/>
          <w:attr w:name="NumberType" w:val="1"/>
          <w:attr w:name="Negative" w:val="False"/>
          <w:attr w:name="HasSpace" w:val="False"/>
          <w:attr w:name="SourceValue" w:val="1"/>
          <w:attr w:name="UnitName" w:val="l"/>
        </w:smartTagPr>
        <w:r w:rsidRPr="005B4D1E">
          <w:rPr>
            <w:rFonts w:ascii="宋体" w:eastAsia="宋体" w:hAnsi="宋体" w:hint="eastAsia"/>
            <w:sz w:val="21"/>
            <w:szCs w:val="21"/>
          </w:rPr>
          <w:t>1L</w:t>
        </w:r>
      </w:smartTag>
      <w:r w:rsidRPr="005B4D1E">
        <w:rPr>
          <w:rFonts w:ascii="宋体" w:eastAsia="宋体" w:hAnsi="宋体" w:hint="eastAsia"/>
          <w:sz w:val="21"/>
          <w:szCs w:val="21"/>
        </w:rPr>
        <w:t>-10)、凋亡(Fas、FasL、TNFR1、TNF-</w:t>
      </w:r>
      <w:r w:rsidRPr="005B4D1E">
        <w:rPr>
          <w:rFonts w:ascii="宋体" w:eastAsia="宋体" w:hAnsi="宋体" w:cs="Arial"/>
          <w:sz w:val="21"/>
          <w:szCs w:val="21"/>
        </w:rPr>
        <w:t>α</w:t>
      </w:r>
      <w:r w:rsidRPr="005B4D1E">
        <w:rPr>
          <w:rFonts w:ascii="宋体" w:eastAsia="宋体" w:hAnsi="宋体" w:hint="eastAsia"/>
          <w:sz w:val="21"/>
          <w:szCs w:val="21"/>
        </w:rPr>
        <w:t>)细胞因子及</w:t>
      </w:r>
      <w:r w:rsidRPr="005B4D1E">
        <w:rPr>
          <w:rFonts w:ascii="宋体" w:eastAsia="宋体" w:hAnsi="宋体" w:cs="Arial"/>
          <w:sz w:val="21"/>
          <w:szCs w:val="21"/>
        </w:rPr>
        <w:t>β</w:t>
      </w:r>
      <w:r w:rsidRPr="005B4D1E">
        <w:rPr>
          <w:rFonts w:ascii="宋体" w:eastAsia="宋体" w:hAnsi="宋体" w:hint="eastAsia"/>
          <w:sz w:val="21"/>
          <w:szCs w:val="21"/>
        </w:rPr>
        <w:t>-actin mRNA的拷贝数。将细胞因子mRNA的拷贝数除以同一样本中</w:t>
      </w:r>
      <w:r w:rsidRPr="005B4D1E">
        <w:rPr>
          <w:rFonts w:ascii="宋体" w:eastAsia="宋体" w:hAnsi="宋体" w:cs="Arial"/>
          <w:sz w:val="21"/>
          <w:szCs w:val="21"/>
        </w:rPr>
        <w:t>β</w:t>
      </w:r>
      <w:r w:rsidRPr="005B4D1E">
        <w:rPr>
          <w:rFonts w:ascii="宋体" w:eastAsia="宋体" w:hAnsi="宋体" w:hint="eastAsia"/>
          <w:sz w:val="21"/>
          <w:szCs w:val="21"/>
        </w:rPr>
        <w:t>-actin mRNA的拷贝数，获得一个相对比值，然后以对照组相对比值的平均值计为l，求出病毒感染组与对照组的倍比值，用以表示相应细胞因子的mRNA表达水平。结果，在病毒感染后，Th1及Th2型细胞因子中，IL-2，IL-4mRNA表达水平在14、21、28DPI显著上调(P&lt;0.05)，IL-12p40、IFN-</w:t>
      </w:r>
      <w:r w:rsidRPr="005B4D1E">
        <w:rPr>
          <w:rFonts w:ascii="宋体" w:eastAsia="宋体" w:hAnsi="宋体"/>
          <w:sz w:val="21"/>
          <w:szCs w:val="21"/>
        </w:rPr>
        <w:t>γ</w:t>
      </w:r>
      <w:r w:rsidRPr="005B4D1E">
        <w:rPr>
          <w:rFonts w:ascii="宋体" w:eastAsia="宋体" w:hAnsi="宋体" w:hint="eastAsia"/>
          <w:sz w:val="21"/>
          <w:szCs w:val="21"/>
        </w:rPr>
        <w:t>、IL-6、IL-10mRNA表达水平在7、14、21、28、42DPI均显著上调(P&lt;0.05)(见图41、42)；凋亡细胞因子中，Fas、FasL、TNFRl mRNA表达水平在7～49DPI均显著上调(P&lt;0.05)，而TNF-</w:t>
      </w:r>
      <w:r w:rsidRPr="005B4D1E">
        <w:rPr>
          <w:rFonts w:ascii="宋体" w:eastAsia="宋体" w:hAnsi="宋体" w:cs="Arial"/>
          <w:sz w:val="21"/>
          <w:szCs w:val="21"/>
        </w:rPr>
        <w:t>α</w:t>
      </w:r>
      <w:r w:rsidRPr="005B4D1E">
        <w:rPr>
          <w:rFonts w:ascii="宋体" w:eastAsia="宋体" w:hAnsi="宋体" w:hint="eastAsia"/>
          <w:sz w:val="21"/>
          <w:szCs w:val="21"/>
        </w:rPr>
        <w:t xml:space="preserve"> mRNA表达水平在试验期间差异不显著（见图43）。IL-6表达水平上调可促进炎症反应，IL-12p40、IFN-</w:t>
      </w:r>
      <w:r w:rsidRPr="005B4D1E">
        <w:rPr>
          <w:rFonts w:ascii="宋体" w:eastAsia="宋体" w:hAnsi="宋体"/>
          <w:sz w:val="21"/>
          <w:szCs w:val="21"/>
        </w:rPr>
        <w:t>γ</w:t>
      </w:r>
      <w:r w:rsidRPr="005B4D1E">
        <w:rPr>
          <w:rFonts w:ascii="宋体" w:eastAsia="宋体" w:hAnsi="宋体" w:hint="eastAsia"/>
          <w:sz w:val="21"/>
          <w:szCs w:val="21"/>
        </w:rPr>
        <w:t>表达水平上调有利于机体清除体内病毒，它们在抗病毒中发挥重要作用；而IL-10具有免疫抑制作用，其表达水平上调有利于病毒的复制和扩散。IL-2、IL-4可以促进T和B细胞的增值分化，其缓慢上调可能是PRRSV感染后机体体液免疫及细胞免疫反应产生缓慢的重要原因。PRRSV感染后，凋亡细胞因子显著上调，可以诱导感染细胞及非感染细胞发生凋亡，降低机体的炎症反应及免疫应答，有利于病毒的免疫逃避。可见，Th1型、Th2型及凋亡细胞因子在PRRSV的免疫机制中发挥重要作用。</w:t>
      </w:r>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5201920" cy="1535430"/>
            <wp:effectExtent l="1905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spect="1" noChangeArrowheads="1"/>
                    </pic:cNvPicPr>
                  </pic:nvPicPr>
                  <pic:blipFill>
                    <a:blip r:embed="rId79" cstate="print"/>
                    <a:srcRect/>
                    <a:stretch>
                      <a:fillRect/>
                    </a:stretch>
                  </pic:blipFill>
                  <pic:spPr bwMode="auto">
                    <a:xfrm>
                      <a:off x="0" y="0"/>
                      <a:ext cx="5201920" cy="1535430"/>
                    </a:xfrm>
                    <a:prstGeom prst="rect">
                      <a:avLst/>
                    </a:prstGeom>
                    <a:noFill/>
                    <a:ln w="9525">
                      <a:noFill/>
                      <a:miter lim="800000"/>
                      <a:headEnd/>
                      <a:tailEnd/>
                    </a:ln>
                  </pic:spPr>
                </pic:pic>
              </a:graphicData>
            </a:graphic>
          </wp:inline>
        </w:drawing>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星号(*)表示组间差异显著(P&lt;0.05)</w:t>
      </w:r>
    </w:p>
    <w:p w:rsidR="009D14A5" w:rsidRPr="005B4D1E" w:rsidRDefault="009D14A5" w:rsidP="00B03D18">
      <w:pPr>
        <w:pStyle w:val="a5"/>
        <w:spacing w:after="156"/>
      </w:pPr>
      <w:bookmarkStart w:id="85" w:name="_Toc405816345"/>
      <w:r w:rsidRPr="005B4D1E">
        <w:rPr>
          <w:rFonts w:hint="eastAsia"/>
        </w:rPr>
        <w:t>图</w:t>
      </w:r>
      <w:r w:rsidR="00B03D18">
        <w:rPr>
          <w:rFonts w:hint="eastAsia"/>
        </w:rPr>
        <w:t xml:space="preserve">41 </w:t>
      </w:r>
      <w:r w:rsidRPr="005B4D1E">
        <w:rPr>
          <w:rFonts w:hint="eastAsia"/>
        </w:rPr>
        <w:t>PRRSV</w:t>
      </w:r>
      <w:r w:rsidRPr="005B4D1E">
        <w:rPr>
          <w:rFonts w:hint="eastAsia"/>
        </w:rPr>
        <w:t>感染猪</w:t>
      </w:r>
      <w:r w:rsidRPr="005B4D1E">
        <w:rPr>
          <w:rFonts w:hint="eastAsia"/>
        </w:rPr>
        <w:t>PBMC</w:t>
      </w:r>
      <w:r w:rsidRPr="005B4D1E">
        <w:rPr>
          <w:rFonts w:hint="eastAsia"/>
        </w:rPr>
        <w:t>中</w:t>
      </w:r>
      <w:r w:rsidRPr="005B4D1E">
        <w:rPr>
          <w:rFonts w:hint="eastAsia"/>
        </w:rPr>
        <w:t>IL-2</w:t>
      </w:r>
      <w:r w:rsidRPr="005B4D1E">
        <w:rPr>
          <w:rFonts w:hint="eastAsia"/>
        </w:rPr>
        <w:t>、</w:t>
      </w:r>
      <w:r w:rsidRPr="005B4D1E">
        <w:rPr>
          <w:rFonts w:hint="eastAsia"/>
        </w:rPr>
        <w:t>IL-12p40</w:t>
      </w:r>
      <w:r w:rsidRPr="005B4D1E">
        <w:rPr>
          <w:rFonts w:hint="eastAsia"/>
        </w:rPr>
        <w:t>、</w:t>
      </w:r>
      <w:r w:rsidRPr="005B4D1E">
        <w:rPr>
          <w:rFonts w:hint="eastAsia"/>
        </w:rPr>
        <w:t>IFN-</w:t>
      </w:r>
      <w:r w:rsidRPr="005B4D1E">
        <w:t>γ</w:t>
      </w:r>
      <w:r w:rsidRPr="005B4D1E">
        <w:rPr>
          <w:rFonts w:hint="eastAsia"/>
        </w:rPr>
        <w:t xml:space="preserve"> mRNA</w:t>
      </w:r>
      <w:r w:rsidRPr="005B4D1E">
        <w:rPr>
          <w:rFonts w:hint="eastAsia"/>
        </w:rPr>
        <w:t>的表达动态</w:t>
      </w:r>
      <w:bookmarkEnd w:id="85"/>
    </w:p>
    <w:p w:rsidR="009D14A5" w:rsidRPr="005B4D1E" w:rsidRDefault="009D14A5" w:rsidP="009D14A5">
      <w:pPr>
        <w:tabs>
          <w:tab w:val="left" w:pos="7597"/>
        </w:tabs>
        <w:wordWrap w:val="0"/>
        <w:spacing w:line="360" w:lineRule="auto"/>
        <w:jc w:val="center"/>
        <w:rPr>
          <w:rFonts w:ascii="宋体" w:eastAsia="宋体" w:hAnsi="宋体"/>
          <w:sz w:val="21"/>
          <w:szCs w:val="21"/>
        </w:rPr>
      </w:pPr>
      <w:r w:rsidRPr="005B4D1E">
        <w:rPr>
          <w:rFonts w:ascii="宋体" w:eastAsia="宋体" w:hAnsi="宋体"/>
          <w:noProof/>
          <w:sz w:val="21"/>
          <w:szCs w:val="21"/>
        </w:rPr>
        <w:lastRenderedPageBreak/>
        <w:drawing>
          <wp:inline distT="0" distB="0" distL="0" distR="0">
            <wp:extent cx="5038090" cy="1561465"/>
            <wp:effectExtent l="1905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80" cstate="print"/>
                    <a:srcRect/>
                    <a:stretch>
                      <a:fillRect/>
                    </a:stretch>
                  </pic:blipFill>
                  <pic:spPr bwMode="auto">
                    <a:xfrm>
                      <a:off x="0" y="0"/>
                      <a:ext cx="5038090" cy="1561465"/>
                    </a:xfrm>
                    <a:prstGeom prst="rect">
                      <a:avLst/>
                    </a:prstGeom>
                    <a:noFill/>
                    <a:ln w="9525">
                      <a:noFill/>
                      <a:miter lim="800000"/>
                      <a:headEnd/>
                      <a:tailEnd/>
                    </a:ln>
                  </pic:spPr>
                </pic:pic>
              </a:graphicData>
            </a:graphic>
          </wp:inline>
        </w:drawing>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星号（*）表示组间差异显著(P&lt;0.05)</w:t>
      </w:r>
    </w:p>
    <w:p w:rsidR="009D14A5" w:rsidRPr="005B4D1E" w:rsidRDefault="009D14A5" w:rsidP="00B03D18">
      <w:pPr>
        <w:pStyle w:val="a5"/>
        <w:spacing w:after="156"/>
      </w:pPr>
      <w:bookmarkStart w:id="86" w:name="_Toc405816346"/>
      <w:r w:rsidRPr="005B4D1E">
        <w:rPr>
          <w:rFonts w:hint="eastAsia"/>
        </w:rPr>
        <w:t>图</w:t>
      </w:r>
      <w:r w:rsidR="00B03D18">
        <w:rPr>
          <w:rFonts w:hint="eastAsia"/>
        </w:rPr>
        <w:t xml:space="preserve">42 </w:t>
      </w:r>
      <w:r w:rsidRPr="005B4D1E">
        <w:rPr>
          <w:rFonts w:hint="eastAsia"/>
        </w:rPr>
        <w:t>PRRSV</w:t>
      </w:r>
      <w:r w:rsidRPr="005B4D1E">
        <w:rPr>
          <w:rFonts w:hint="eastAsia"/>
        </w:rPr>
        <w:t>感染猪</w:t>
      </w:r>
      <w:r w:rsidRPr="005B4D1E">
        <w:rPr>
          <w:rFonts w:hint="eastAsia"/>
        </w:rPr>
        <w:t>PBMC</w:t>
      </w:r>
      <w:r w:rsidRPr="005B4D1E">
        <w:rPr>
          <w:rFonts w:hint="eastAsia"/>
        </w:rPr>
        <w:t>中</w:t>
      </w:r>
      <w:r w:rsidRPr="005B4D1E">
        <w:rPr>
          <w:rFonts w:hint="eastAsia"/>
        </w:rPr>
        <w:t>IL-4</w:t>
      </w:r>
      <w:r w:rsidRPr="005B4D1E">
        <w:rPr>
          <w:rFonts w:hint="eastAsia"/>
        </w:rPr>
        <w:t>、</w:t>
      </w:r>
      <w:r w:rsidRPr="005B4D1E">
        <w:rPr>
          <w:rFonts w:hint="eastAsia"/>
        </w:rPr>
        <w:t>IL-6</w:t>
      </w:r>
      <w:r w:rsidRPr="005B4D1E">
        <w:rPr>
          <w:rFonts w:hint="eastAsia"/>
        </w:rPr>
        <w:t>、</w:t>
      </w:r>
      <w:r w:rsidRPr="005B4D1E">
        <w:rPr>
          <w:rFonts w:hint="eastAsia"/>
        </w:rPr>
        <w:t>IL-10mRNA</w:t>
      </w:r>
      <w:r w:rsidRPr="005B4D1E">
        <w:rPr>
          <w:rFonts w:hint="eastAsia"/>
        </w:rPr>
        <w:t>的表达动态</w:t>
      </w:r>
      <w:bookmarkEnd w:id="86"/>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noProof/>
          <w:sz w:val="21"/>
          <w:szCs w:val="21"/>
        </w:rPr>
        <w:drawing>
          <wp:inline distT="0" distB="0" distL="0" distR="0">
            <wp:extent cx="5270500" cy="1337310"/>
            <wp:effectExtent l="19050" t="0" r="635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pic:cNvPicPr>
                      <a:picLocks noChangeAspect="1" noChangeArrowheads="1"/>
                    </pic:cNvPicPr>
                  </pic:nvPicPr>
                  <pic:blipFill>
                    <a:blip r:embed="rId81" cstate="print"/>
                    <a:srcRect/>
                    <a:stretch>
                      <a:fillRect/>
                    </a:stretch>
                  </pic:blipFill>
                  <pic:spPr bwMode="auto">
                    <a:xfrm>
                      <a:off x="0" y="0"/>
                      <a:ext cx="5270500" cy="1337310"/>
                    </a:xfrm>
                    <a:prstGeom prst="rect">
                      <a:avLst/>
                    </a:prstGeom>
                    <a:noFill/>
                    <a:ln w="9525">
                      <a:noFill/>
                      <a:miter lim="800000"/>
                      <a:headEnd/>
                      <a:tailEnd/>
                    </a:ln>
                  </pic:spPr>
                </pic:pic>
              </a:graphicData>
            </a:graphic>
          </wp:inline>
        </w:drawing>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星号(*)表示组间差异显著(P&lt;0.05)</w:t>
      </w:r>
    </w:p>
    <w:p w:rsidR="009D14A5" w:rsidRPr="005B4D1E" w:rsidRDefault="009D14A5" w:rsidP="00B03D18">
      <w:pPr>
        <w:pStyle w:val="a5"/>
        <w:spacing w:after="156"/>
      </w:pPr>
      <w:bookmarkStart w:id="87" w:name="_Toc405816347"/>
      <w:r w:rsidRPr="005B4D1E">
        <w:rPr>
          <w:rFonts w:hint="eastAsia"/>
        </w:rPr>
        <w:t>图</w:t>
      </w:r>
      <w:r w:rsidR="00B03D18">
        <w:rPr>
          <w:rFonts w:hint="eastAsia"/>
        </w:rPr>
        <w:t xml:space="preserve">43 </w:t>
      </w:r>
      <w:r w:rsidRPr="005B4D1E">
        <w:rPr>
          <w:rFonts w:hint="eastAsia"/>
        </w:rPr>
        <w:t>PRRSV</w:t>
      </w:r>
      <w:r w:rsidRPr="005B4D1E">
        <w:rPr>
          <w:rFonts w:hint="eastAsia"/>
        </w:rPr>
        <w:t>感染猪</w:t>
      </w:r>
      <w:r w:rsidRPr="005B4D1E">
        <w:rPr>
          <w:rFonts w:hint="eastAsia"/>
        </w:rPr>
        <w:t>PBMC</w:t>
      </w:r>
      <w:r w:rsidRPr="005B4D1E">
        <w:rPr>
          <w:rFonts w:hint="eastAsia"/>
        </w:rPr>
        <w:t>中</w:t>
      </w:r>
      <w:r w:rsidRPr="005B4D1E">
        <w:rPr>
          <w:rFonts w:hint="eastAsia"/>
        </w:rPr>
        <w:t>Fas</w:t>
      </w:r>
      <w:r w:rsidRPr="005B4D1E">
        <w:rPr>
          <w:rFonts w:hint="eastAsia"/>
        </w:rPr>
        <w:t>、</w:t>
      </w:r>
      <w:r w:rsidRPr="005B4D1E">
        <w:rPr>
          <w:rFonts w:hint="eastAsia"/>
        </w:rPr>
        <w:t>FasL</w:t>
      </w:r>
      <w:r w:rsidRPr="005B4D1E">
        <w:rPr>
          <w:rFonts w:hint="eastAsia"/>
        </w:rPr>
        <w:t>、</w:t>
      </w:r>
      <w:r w:rsidRPr="005B4D1E">
        <w:rPr>
          <w:rFonts w:hint="eastAsia"/>
        </w:rPr>
        <w:t>TNFR1</w:t>
      </w:r>
      <w:r w:rsidRPr="005B4D1E">
        <w:rPr>
          <w:rFonts w:hint="eastAsia"/>
        </w:rPr>
        <w:t>、</w:t>
      </w:r>
      <w:r w:rsidRPr="005B4D1E">
        <w:rPr>
          <w:rFonts w:hint="eastAsia"/>
        </w:rPr>
        <w:t>TNF-</w:t>
      </w:r>
      <w:r w:rsidRPr="005B4D1E">
        <w:rPr>
          <w:rFonts w:cs="Arial"/>
        </w:rPr>
        <w:t>α</w:t>
      </w:r>
      <w:r w:rsidRPr="005B4D1E">
        <w:rPr>
          <w:rFonts w:hint="eastAsia"/>
        </w:rPr>
        <w:t xml:space="preserve"> mRNA</w:t>
      </w:r>
      <w:r w:rsidRPr="005B4D1E">
        <w:rPr>
          <w:rFonts w:hint="eastAsia"/>
        </w:rPr>
        <w:t>的表达动态</w:t>
      </w:r>
      <w:bookmarkEnd w:id="87"/>
    </w:p>
    <w:p w:rsidR="009D14A5" w:rsidRPr="005B4D1E" w:rsidRDefault="009D14A5" w:rsidP="009D14A5">
      <w:pPr>
        <w:tabs>
          <w:tab w:val="left" w:pos="7597"/>
        </w:tabs>
        <w:wordWrap w:val="0"/>
        <w:spacing w:line="360" w:lineRule="auto"/>
        <w:rPr>
          <w:rFonts w:ascii="宋体" w:eastAsia="宋体" w:hAnsi="宋体"/>
          <w:b/>
          <w:bCs/>
          <w:sz w:val="21"/>
          <w:szCs w:val="21"/>
        </w:rPr>
      </w:pPr>
    </w:p>
    <w:p w:rsidR="009D14A5" w:rsidRPr="005B4D1E" w:rsidRDefault="009D14A5" w:rsidP="005B4D1E">
      <w:pPr>
        <w:tabs>
          <w:tab w:val="left" w:pos="7597"/>
        </w:tabs>
        <w:wordWrap w:val="0"/>
        <w:spacing w:line="360" w:lineRule="auto"/>
        <w:ind w:firstLineChars="200" w:firstLine="420"/>
        <w:rPr>
          <w:rFonts w:ascii="宋体" w:eastAsia="宋体" w:hAnsi="宋体"/>
          <w:sz w:val="21"/>
          <w:szCs w:val="21"/>
        </w:rPr>
      </w:pPr>
      <w:r w:rsidRPr="005B4D1E">
        <w:rPr>
          <w:rFonts w:ascii="宋体" w:eastAsia="宋体" w:hAnsi="宋体" w:hint="eastAsia"/>
          <w:sz w:val="21"/>
          <w:szCs w:val="21"/>
        </w:rPr>
        <w:t>小结：细胞因子主要介导和调节免疫应答和炎症反应、刺激造血功能、参与组织修复等，其中Th1型、Th2型细胞因子与细胞介导的免疫应答密切相关；许多病毒感染后可以诱导细胞凋亡，同时细胞凋亡也是机体应对病毒感染的一种抗病毒机制，对周围未感染细胞和机体是一种保护性措施，其中死亡受体Fas及其配体FasL、TNFR1及其配体TNF-</w:t>
      </w:r>
      <w:r w:rsidRPr="005B4D1E">
        <w:rPr>
          <w:rFonts w:ascii="宋体" w:eastAsia="宋体" w:hAnsi="宋体" w:cs="Arial"/>
          <w:sz w:val="21"/>
          <w:szCs w:val="21"/>
        </w:rPr>
        <w:t>α</w:t>
      </w:r>
      <w:r w:rsidRPr="005B4D1E">
        <w:rPr>
          <w:rFonts w:ascii="宋体" w:eastAsia="宋体" w:hAnsi="宋体" w:hint="eastAsia"/>
          <w:sz w:val="21"/>
          <w:szCs w:val="21"/>
        </w:rPr>
        <w:t>是主要的凋亡细胞因子。本研究针对猪Th1型细胞因子IL-2、IL-12p40、IFN-</w:t>
      </w:r>
      <w:r w:rsidRPr="005B4D1E">
        <w:rPr>
          <w:rFonts w:ascii="宋体" w:eastAsia="宋体" w:hAnsi="宋体"/>
          <w:sz w:val="21"/>
          <w:szCs w:val="21"/>
        </w:rPr>
        <w:t>γ</w:t>
      </w:r>
      <w:r w:rsidRPr="005B4D1E">
        <w:rPr>
          <w:rFonts w:ascii="宋体" w:eastAsia="宋体" w:hAnsi="宋体" w:hint="eastAsia"/>
          <w:sz w:val="21"/>
          <w:szCs w:val="21"/>
        </w:rPr>
        <w:t>、Th2型细胞因子IL-4、IL-6、IL-10、凋亡细胞因子Fas、FasL、TNFR1、TNF-</w:t>
      </w:r>
      <w:r w:rsidRPr="005B4D1E">
        <w:rPr>
          <w:rFonts w:ascii="宋体" w:eastAsia="宋体" w:hAnsi="宋体" w:cs="Arial"/>
          <w:sz w:val="21"/>
          <w:szCs w:val="21"/>
        </w:rPr>
        <w:t>α</w:t>
      </w:r>
      <w:r w:rsidRPr="005B4D1E">
        <w:rPr>
          <w:rFonts w:ascii="宋体" w:eastAsia="宋体" w:hAnsi="宋体" w:hint="eastAsia"/>
          <w:sz w:val="21"/>
          <w:szCs w:val="21"/>
        </w:rPr>
        <w:t>以及管家基因</w:t>
      </w:r>
      <w:r w:rsidRPr="005B4D1E">
        <w:rPr>
          <w:rFonts w:ascii="宋体" w:eastAsia="宋体" w:hAnsi="宋体" w:cs="Arial"/>
          <w:sz w:val="21"/>
          <w:szCs w:val="21"/>
        </w:rPr>
        <w:t>β</w:t>
      </w:r>
      <w:r w:rsidRPr="005B4D1E">
        <w:rPr>
          <w:rFonts w:ascii="宋体" w:eastAsia="宋体" w:hAnsi="宋体" w:hint="eastAsia"/>
          <w:sz w:val="21"/>
          <w:szCs w:val="21"/>
        </w:rPr>
        <w:t>-actin的基因序列分别设计特异性引物，构建含有各自引物扩增序列的重组质粒作为阳性标准品，建立了检测这些细胞因子的SYBR Green I real-time PCR方法。它们标准曲线的相关系数均达到0.997以上；敏感性高，初始模板的检出下限均达到100拷贝／</w:t>
      </w:r>
      <w:r w:rsidRPr="005B4D1E">
        <w:rPr>
          <w:rFonts w:ascii="宋体" w:eastAsia="宋体" w:hAnsi="宋体"/>
          <w:sz w:val="21"/>
          <w:szCs w:val="21"/>
        </w:rPr>
        <w:t>µ</w:t>
      </w:r>
      <w:r w:rsidRPr="005B4D1E">
        <w:rPr>
          <w:rFonts w:ascii="宋体" w:eastAsia="宋体" w:hAnsi="宋体" w:hint="eastAsia"/>
          <w:sz w:val="21"/>
          <w:szCs w:val="21"/>
        </w:rPr>
        <w:t>L；特异性强，扩增产物形成单一的特异性熔解峰；重复性好，组内与组间的变异系数均小于3.5%。将PRRSV接种健康仔猪，于感染后不同时间检测PBMC中上述细胞因子mRNA的表达水平，发现它们在病毒感染后表达水平均显著上调，表明Th1型、Th2型及凋亡细胞因子在PRRSV的免疫机制中发挥重要作用。</w:t>
      </w:r>
    </w:p>
    <w:p w:rsidR="009D14A5" w:rsidRPr="005B4D1E" w:rsidRDefault="009D14A5" w:rsidP="00206742">
      <w:pPr>
        <w:pStyle w:val="2"/>
      </w:pPr>
      <w:bookmarkStart w:id="88" w:name="_Toc405816281"/>
      <w:r w:rsidRPr="005B4D1E">
        <w:rPr>
          <w:rFonts w:hint="eastAsia"/>
        </w:rPr>
        <w:lastRenderedPageBreak/>
        <w:t>PRRSV</w:t>
      </w:r>
      <w:r w:rsidRPr="005B4D1E">
        <w:rPr>
          <w:rFonts w:hint="eastAsia"/>
        </w:rPr>
        <w:t>不同疫苗种类及毒株对免疫抗体效价的监测评估</w:t>
      </w:r>
      <w:bookmarkEnd w:id="88"/>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 xml:space="preserve"> 猪场选择：</w:t>
      </w:r>
      <w:r w:rsidRPr="005B4D1E">
        <w:rPr>
          <w:rFonts w:ascii="宋体" w:eastAsia="宋体" w:hAnsi="宋体" w:hint="eastAsia"/>
          <w:sz w:val="21"/>
          <w:szCs w:val="21"/>
        </w:rPr>
        <w:t>为监测PRRSV灭活疫苗、弱毒疫苗（传统株、变异株）免疫猪群后抗体的动态变化，以评估不同疫苗种类及毒株的免疫效果，选择某规模种猪场作为试验基地，连续6年采集血清，监测PRRSV疫苗免疫抗体。</w:t>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免疫程序：</w:t>
      </w:r>
      <w:r w:rsidRPr="005B4D1E">
        <w:rPr>
          <w:rFonts w:ascii="宋体" w:eastAsia="宋体" w:hAnsi="宋体" w:hint="eastAsia"/>
          <w:sz w:val="21"/>
          <w:szCs w:val="21"/>
        </w:rPr>
        <w:t>2008年4月之前使用勃林格弱毒疫苗（RespPRRS MLV株），后备公母猪群150日龄时免疫一次，28天后加强免疫一次，每次颈部肌肉注射2mL；种猪群生产公、母猪每年2、6、10月初各免疫一次，每次颈部肌肉注射2mL。2008年5月至2010年12月使用国产HP-PRRSV灭活疫苗（JXA1株），后备公母猪群150日龄时免疫一次，28天后加强免疫一次，每次颈部肌肉注射2mL；种猪群生产公、母猪每年2、6、10月初各免疫一次，每次颈部肌肉注射2mL。2011年1月之后使用国产HP-PRRSV弱毒疫苗（TJM株），哺乳仔猪群21日龄免疫1次，每次颈部肌肉注射1头份；后备公母猪群150日龄时免疫一次，28天后加强免疫一次，每次颈部肌肉注射1头份；种猪群生产公、母猪每年2、6、10月初各免疫一次，每次颈部肌肉注射1头份。</w:t>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血清采集：</w:t>
      </w:r>
      <w:r w:rsidRPr="005B4D1E">
        <w:rPr>
          <w:rFonts w:ascii="宋体" w:eastAsia="宋体" w:hAnsi="宋体" w:hint="eastAsia"/>
          <w:sz w:val="21"/>
          <w:szCs w:val="21"/>
        </w:rPr>
        <w:t>于每年4月份，按照后备猪(175-185d)、后备猪(220-230d)、妊娠母猪(30-70d)、妊娠母猪(71-105d)、产后母猪(7-14d)、保育猪(21-28d)、保育猪(42-49d)、保育猪(65-75d)、育肥猪（80-90d）、育肥猪(105-115d)、育肥猪（140-154d）等11个日龄阶段，随机选择每个日龄阶段猪只10头左右，采集血液，分离血清，用于PRRSV抗体检测。</w:t>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抗体检测：</w:t>
      </w:r>
      <w:r w:rsidRPr="005B4D1E">
        <w:rPr>
          <w:rFonts w:ascii="宋体" w:eastAsia="宋体" w:hAnsi="宋体" w:hint="eastAsia"/>
          <w:sz w:val="21"/>
          <w:szCs w:val="21"/>
        </w:rPr>
        <w:t>使用美国IDEXX公司试剂盒(HerdChek PRRS 3xr，IDEXX Inc.)，应用ELISA方法对采集的血清样品进行PRRSV抗体检测，具体操作按照试剂盒说明书进行。</w:t>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结果，2007-2012年PRRSV抗体阳性率逐步提高，使用经典弱毒疫苗的2007年、2008年阳性率为38.30%、59.22%，使用灭活疫苗的2009年、2010年阳性率为45.00%、50.00%；使用弱毒疫苗的2011年、2012年阳性率为61.40%、91.00%（表33、图</w:t>
      </w:r>
      <w:smartTag w:uri="urn:schemas-microsoft-com:office:smarttags" w:element="chmetcnv">
        <w:smartTagPr>
          <w:attr w:name="TCSC" w:val="0"/>
          <w:attr w:name="NumberType" w:val="1"/>
          <w:attr w:name="Negative" w:val="False"/>
          <w:attr w:name="HasSpace" w:val="False"/>
          <w:attr w:name="SourceValue" w:val="44"/>
          <w:attr w:name="UnitName" w:val="a"/>
        </w:smartTagPr>
        <w:r w:rsidRPr="005B4D1E">
          <w:rPr>
            <w:rFonts w:ascii="宋体" w:eastAsia="宋体" w:hAnsi="宋体" w:hint="eastAsia"/>
            <w:sz w:val="21"/>
            <w:szCs w:val="21"/>
          </w:rPr>
          <w:t>44A</w:t>
        </w:r>
      </w:smartTag>
      <w:r w:rsidRPr="005B4D1E">
        <w:rPr>
          <w:rFonts w:ascii="宋体" w:eastAsia="宋体" w:hAnsi="宋体" w:hint="eastAsia"/>
          <w:sz w:val="21"/>
          <w:szCs w:val="21"/>
        </w:rPr>
        <w:t>）。不同日龄阶段的猪群，以后备猪抗体阳性率最高，育肥猪其次，妊娠母猪再次，最低为保育猪（表34、图44B）；值得注意的是，保育猪群的抗体阳性率在所有日龄阶段中最低，多数年份阳性率为0，尤其是21-28日龄、42-49日龄保育猪群，除了2012年阳性率分别为100%、40%外，其余年份基本为0（表34、图45-50）。将使用经典株弱毒苗的2007年、变异株灭活苗的2009年、变异株弱毒苗的2012年进行比较，发现2012年各日龄阶段猪群的PRRSV抗体阳性率总体高于2009年相应猪群的抗体阳性率、2009年各日龄阶段猪群的PRRSV抗体阳性率总体高于2007年相应猪群的抗体阳性率（表34、31，图</w:t>
      </w:r>
      <w:smartTag w:uri="urn:schemas-microsoft-com:office:smarttags" w:element="chmetcnv">
        <w:smartTagPr>
          <w:attr w:name="TCSC" w:val="0"/>
          <w:attr w:name="NumberType" w:val="1"/>
          <w:attr w:name="Negative" w:val="False"/>
          <w:attr w:name="HasSpace" w:val="False"/>
          <w:attr w:name="SourceValue" w:val="44"/>
          <w:attr w:name="UnitName" w:val="C"/>
        </w:smartTagPr>
        <w:r w:rsidRPr="005B4D1E">
          <w:rPr>
            <w:rFonts w:ascii="宋体" w:eastAsia="宋体" w:hAnsi="宋体" w:hint="eastAsia"/>
            <w:sz w:val="21"/>
            <w:szCs w:val="21"/>
          </w:rPr>
          <w:t>44C</w:t>
        </w:r>
      </w:smartTag>
      <w:r w:rsidRPr="005B4D1E">
        <w:rPr>
          <w:rFonts w:ascii="宋体" w:eastAsia="宋体" w:hAnsi="宋体" w:hint="eastAsia"/>
          <w:sz w:val="21"/>
          <w:szCs w:val="21"/>
        </w:rPr>
        <w:t>、44D）。</w:t>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对历年不同日龄阶段猪群中各个个体的S/P值进行分析，发现即使在同一日龄阶段，不同个体之间的S/P值差异较大，参差不齐，并且越是阳性率底的猪群，其离散度越大（表3</w:t>
      </w:r>
      <w:r w:rsidRPr="005B4D1E">
        <w:rPr>
          <w:rFonts w:ascii="宋体" w:eastAsia="宋体" w:hAnsi="宋体" w:hint="eastAsia"/>
          <w:sz w:val="21"/>
          <w:szCs w:val="21"/>
        </w:rPr>
        <w:lastRenderedPageBreak/>
        <w:t>5、图45-50），说明猪群个体对疫苗免疫后机体的免疫反应差异较大，在评估免疫效果时应尽可能多地采集血清，以便正确分析和评估。</w:t>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2012年不同日龄阶段的猪群抗体阳性率较高，可能与2011年后使用变异株弱毒疫苗有关。而保育猪3个日龄阶段的仔猪抗体阳性率较高，其中最低的42-49日龄阳性率也有40%，除了与这个猪群使用弱毒苗有关外，也与2011年后开始在21日龄哺乳仔猪使用变异株弱毒疫苗有关，如何提高42-49日龄猪群的抗体阳性率，值得思考，其中一个思路是提前疫苗免疫日龄，但效果如何有待实践证实。目前，在7日龄哺乳仔猪免疫变异株弱毒疫苗的试验正在进行中。</w:t>
      </w:r>
    </w:p>
    <w:p w:rsidR="009D14A5" w:rsidRPr="005B4D1E" w:rsidRDefault="009D14A5" w:rsidP="009D14A5">
      <w:pPr>
        <w:tabs>
          <w:tab w:val="left" w:pos="7597"/>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从6年的试验数据及实践情况看，猪群免疫变异株弱毒疫苗的抗体阳性率均高于变异株灭活苗和经典株弱毒苗。建议在临床上优先使用变异株弱毒疫苗、其次是经典株弱毒疫苗、最后是变异株灭活疫苗。其免疫程序需经临床不断摸索才能确定。</w:t>
      </w:r>
    </w:p>
    <w:p w:rsidR="009D14A5" w:rsidRPr="005B4D1E" w:rsidRDefault="009D14A5" w:rsidP="005B4D1E">
      <w:pPr>
        <w:tabs>
          <w:tab w:val="left" w:pos="7597"/>
        </w:tabs>
        <w:wordWrap w:val="0"/>
        <w:spacing w:line="360" w:lineRule="auto"/>
        <w:ind w:firstLineChars="200" w:firstLine="420"/>
        <w:rPr>
          <w:rFonts w:ascii="宋体" w:eastAsia="宋体" w:hAnsi="宋体"/>
          <w:sz w:val="21"/>
          <w:szCs w:val="21"/>
        </w:rPr>
      </w:pPr>
      <w:r w:rsidRPr="005B4D1E">
        <w:rPr>
          <w:rFonts w:ascii="宋体" w:eastAsia="宋体" w:hAnsi="宋体" w:hint="eastAsia"/>
          <w:sz w:val="21"/>
          <w:szCs w:val="21"/>
        </w:rPr>
        <w:t>小结：为了解猪蓝耳病灭活疫苗、经典株弱毒疫苗、变异株弱毒疫苗进行免疫后猪群的免疫效果，选择某种猪场于2007-2012年连续6年，采集免疫后不同日龄阶段猪群的血清，应用ELISA方法检测PRRSV抗体。结果，2007-2012年PRRSV抗体阳性率逐步提高，使用经典弱毒疫苗的2007年、2008年阳性率为38.30%、59.22%，使用灭活疫苗的2009年、2010年阳性率为45.00%、50.00%；使用弱毒疫苗的2011年、2012年阳性率为61.40%、91.00%。不同日龄阶段的猪群，以后备猪抗体阳性率最高，育肥猪其次，妊娠母猪再次，最低为保育猪，尤其是21-28日龄、42-49日龄保育猪群。各日龄阶段猪群的PRRSV抗体阳性率在使用变异株弱毒疫苗的猪群总体高于使用经典株弱毒苗、变异株灭活苗的猪群。建议在临床上优先使用变异株弱毒疫苗、其次是经典株弱毒疫苗、最后是变异株灭活疫苗。</w:t>
      </w:r>
    </w:p>
    <w:p w:rsidR="00B03D18" w:rsidRDefault="00B03D18" w:rsidP="00B03D18">
      <w:pPr>
        <w:pStyle w:val="a6"/>
        <w:spacing w:before="156"/>
      </w:pPr>
    </w:p>
    <w:p w:rsidR="00B03D18" w:rsidRDefault="00B03D18" w:rsidP="00B03D18">
      <w:pPr>
        <w:pStyle w:val="a6"/>
        <w:spacing w:before="156"/>
      </w:pPr>
    </w:p>
    <w:p w:rsidR="00B03D18" w:rsidRDefault="00B03D18" w:rsidP="00B03D18">
      <w:pPr>
        <w:pStyle w:val="a6"/>
        <w:spacing w:before="156"/>
      </w:pPr>
    </w:p>
    <w:p w:rsidR="00B03D18" w:rsidRDefault="00B03D18" w:rsidP="00B03D18">
      <w:pPr>
        <w:pStyle w:val="a6"/>
        <w:spacing w:before="156"/>
      </w:pPr>
    </w:p>
    <w:p w:rsidR="00B03D18" w:rsidRDefault="00B03D18" w:rsidP="00B03D18">
      <w:pPr>
        <w:pStyle w:val="a6"/>
        <w:spacing w:before="156"/>
      </w:pPr>
    </w:p>
    <w:p w:rsidR="00B03D18" w:rsidRDefault="00B03D18" w:rsidP="00B03D18">
      <w:pPr>
        <w:pStyle w:val="a6"/>
        <w:spacing w:before="156"/>
      </w:pPr>
    </w:p>
    <w:p w:rsidR="00B03D18" w:rsidRDefault="00B03D18" w:rsidP="00B03D18">
      <w:pPr>
        <w:pStyle w:val="a6"/>
        <w:spacing w:before="156"/>
      </w:pPr>
    </w:p>
    <w:p w:rsidR="00B03D18" w:rsidRDefault="00B03D18" w:rsidP="00B03D18">
      <w:pPr>
        <w:pStyle w:val="a6"/>
        <w:spacing w:before="156"/>
      </w:pPr>
    </w:p>
    <w:p w:rsidR="00B03D18" w:rsidRDefault="00B03D18" w:rsidP="00B03D18">
      <w:pPr>
        <w:pStyle w:val="a6"/>
        <w:spacing w:before="156"/>
      </w:pPr>
    </w:p>
    <w:p w:rsidR="00B03D18" w:rsidRDefault="00B03D18" w:rsidP="00B03D18">
      <w:pPr>
        <w:pStyle w:val="a6"/>
        <w:spacing w:before="156"/>
      </w:pPr>
    </w:p>
    <w:p w:rsidR="00B03D18" w:rsidRDefault="00B03D18" w:rsidP="00B03D18">
      <w:pPr>
        <w:pStyle w:val="a6"/>
        <w:spacing w:before="156"/>
      </w:pPr>
    </w:p>
    <w:p w:rsidR="00B03D18" w:rsidRDefault="00B03D18" w:rsidP="00B03D18">
      <w:pPr>
        <w:pStyle w:val="a6"/>
        <w:spacing w:before="156"/>
      </w:pPr>
    </w:p>
    <w:p w:rsidR="009D14A5" w:rsidRPr="005B4D1E" w:rsidRDefault="009D14A5" w:rsidP="00B03D18">
      <w:pPr>
        <w:pStyle w:val="a6"/>
        <w:spacing w:before="156"/>
      </w:pPr>
      <w:bookmarkStart w:id="89" w:name="_Toc405816435"/>
      <w:r w:rsidRPr="005B4D1E">
        <w:rPr>
          <w:rFonts w:hint="eastAsia"/>
        </w:rPr>
        <w:lastRenderedPageBreak/>
        <w:t>表</w:t>
      </w:r>
      <w:r w:rsidR="00B03D18">
        <w:rPr>
          <w:rFonts w:hint="eastAsia"/>
        </w:rPr>
        <w:t xml:space="preserve">33 </w:t>
      </w:r>
      <w:r w:rsidRPr="005B4D1E">
        <w:rPr>
          <w:rFonts w:hint="eastAsia"/>
        </w:rPr>
        <w:t>2007-2012</w:t>
      </w:r>
      <w:r w:rsidRPr="005B4D1E">
        <w:rPr>
          <w:rFonts w:hint="eastAsia"/>
        </w:rPr>
        <w:t>年某猪场不同日龄猪群血清</w:t>
      </w:r>
      <w:r w:rsidRPr="005B4D1E">
        <w:rPr>
          <w:rFonts w:hint="eastAsia"/>
        </w:rPr>
        <w:t>PRRSV</w:t>
      </w:r>
      <w:r w:rsidRPr="005B4D1E">
        <w:rPr>
          <w:rFonts w:hint="eastAsia"/>
        </w:rPr>
        <w:t>抗体统计表</w:t>
      </w:r>
      <w:bookmarkEnd w:id="89"/>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noProof/>
          <w:sz w:val="21"/>
          <w:szCs w:val="21"/>
        </w:rPr>
        <w:drawing>
          <wp:inline distT="0" distB="0" distL="0" distR="0">
            <wp:extent cx="3596146" cy="5376229"/>
            <wp:effectExtent l="914400" t="0" r="880604"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82" cstate="print"/>
                    <a:srcRect/>
                    <a:stretch>
                      <a:fillRect/>
                    </a:stretch>
                  </pic:blipFill>
                  <pic:spPr bwMode="auto">
                    <a:xfrm rot="5400000">
                      <a:off x="0" y="0"/>
                      <a:ext cx="3603188" cy="5386756"/>
                    </a:xfrm>
                    <a:prstGeom prst="rect">
                      <a:avLst/>
                    </a:prstGeom>
                    <a:noFill/>
                    <a:ln w="9525">
                      <a:noFill/>
                      <a:miter lim="800000"/>
                      <a:headEnd/>
                      <a:tailEnd/>
                    </a:ln>
                  </pic:spPr>
                </pic:pic>
              </a:graphicData>
            </a:graphic>
          </wp:inline>
        </w:drawing>
      </w:r>
    </w:p>
    <w:p w:rsidR="00B03D18" w:rsidRDefault="00B03D18" w:rsidP="009D14A5">
      <w:pPr>
        <w:tabs>
          <w:tab w:val="left" w:pos="6519"/>
        </w:tabs>
        <w:wordWrap w:val="0"/>
        <w:spacing w:line="360" w:lineRule="auto"/>
        <w:rPr>
          <w:rFonts w:ascii="宋体" w:eastAsia="宋体" w:hAnsi="宋体"/>
          <w:sz w:val="21"/>
          <w:szCs w:val="21"/>
        </w:rPr>
      </w:pPr>
    </w:p>
    <w:p w:rsidR="00B03D18" w:rsidRDefault="00B03D18" w:rsidP="009D14A5">
      <w:pPr>
        <w:tabs>
          <w:tab w:val="left" w:pos="6519"/>
        </w:tabs>
        <w:wordWrap w:val="0"/>
        <w:spacing w:line="360" w:lineRule="auto"/>
        <w:rPr>
          <w:rFonts w:ascii="宋体" w:eastAsia="宋体" w:hAnsi="宋体"/>
          <w:sz w:val="21"/>
          <w:szCs w:val="21"/>
        </w:rPr>
      </w:pPr>
    </w:p>
    <w:p w:rsidR="00B03D18" w:rsidRDefault="00B03D18" w:rsidP="009D14A5">
      <w:pPr>
        <w:tabs>
          <w:tab w:val="left" w:pos="6519"/>
        </w:tabs>
        <w:wordWrap w:val="0"/>
        <w:spacing w:line="360" w:lineRule="auto"/>
        <w:rPr>
          <w:rFonts w:ascii="宋体" w:eastAsia="宋体" w:hAnsi="宋体"/>
          <w:sz w:val="21"/>
          <w:szCs w:val="21"/>
        </w:rPr>
      </w:pPr>
    </w:p>
    <w:p w:rsidR="00B03D18" w:rsidRDefault="00B03D18" w:rsidP="009D14A5">
      <w:pPr>
        <w:tabs>
          <w:tab w:val="left" w:pos="6519"/>
        </w:tabs>
        <w:wordWrap w:val="0"/>
        <w:spacing w:line="360" w:lineRule="auto"/>
        <w:rPr>
          <w:rFonts w:ascii="宋体" w:eastAsia="宋体" w:hAnsi="宋体"/>
          <w:sz w:val="21"/>
          <w:szCs w:val="21"/>
        </w:rPr>
      </w:pPr>
    </w:p>
    <w:p w:rsidR="00B03D18" w:rsidRDefault="00B03D18" w:rsidP="009D14A5">
      <w:pPr>
        <w:tabs>
          <w:tab w:val="left" w:pos="6519"/>
        </w:tabs>
        <w:wordWrap w:val="0"/>
        <w:spacing w:line="360" w:lineRule="auto"/>
        <w:rPr>
          <w:rFonts w:ascii="宋体" w:eastAsia="宋体" w:hAnsi="宋体"/>
          <w:sz w:val="21"/>
          <w:szCs w:val="21"/>
        </w:rPr>
      </w:pPr>
    </w:p>
    <w:p w:rsidR="00B03D18" w:rsidRDefault="00B03D18" w:rsidP="009D14A5">
      <w:pPr>
        <w:tabs>
          <w:tab w:val="left" w:pos="6519"/>
        </w:tabs>
        <w:wordWrap w:val="0"/>
        <w:spacing w:line="360" w:lineRule="auto"/>
        <w:rPr>
          <w:rFonts w:ascii="宋体" w:eastAsia="宋体" w:hAnsi="宋体"/>
          <w:sz w:val="21"/>
          <w:szCs w:val="21"/>
        </w:rPr>
      </w:pPr>
    </w:p>
    <w:p w:rsidR="00B03D18" w:rsidRDefault="00B03D18" w:rsidP="009D14A5">
      <w:pPr>
        <w:tabs>
          <w:tab w:val="left" w:pos="6519"/>
        </w:tabs>
        <w:wordWrap w:val="0"/>
        <w:spacing w:line="360" w:lineRule="auto"/>
        <w:rPr>
          <w:rFonts w:ascii="宋体" w:eastAsia="宋体" w:hAnsi="宋体"/>
          <w:sz w:val="21"/>
          <w:szCs w:val="21"/>
        </w:rPr>
      </w:pPr>
    </w:p>
    <w:p w:rsidR="00B03D18" w:rsidRDefault="00B03D18" w:rsidP="009D14A5">
      <w:pPr>
        <w:tabs>
          <w:tab w:val="left" w:pos="6519"/>
        </w:tabs>
        <w:wordWrap w:val="0"/>
        <w:spacing w:line="360" w:lineRule="auto"/>
        <w:rPr>
          <w:rFonts w:ascii="宋体" w:eastAsia="宋体" w:hAnsi="宋体"/>
          <w:sz w:val="21"/>
          <w:szCs w:val="21"/>
        </w:rPr>
      </w:pPr>
    </w:p>
    <w:p w:rsidR="009D14A5" w:rsidRPr="005B4D1E" w:rsidRDefault="009D14A5" w:rsidP="00B03D18">
      <w:pPr>
        <w:pStyle w:val="a6"/>
        <w:spacing w:before="156"/>
      </w:pPr>
      <w:bookmarkStart w:id="90" w:name="_Toc405816436"/>
      <w:r w:rsidRPr="005B4D1E">
        <w:rPr>
          <w:rFonts w:hint="eastAsia"/>
        </w:rPr>
        <w:lastRenderedPageBreak/>
        <w:t>表</w:t>
      </w:r>
      <w:r w:rsidR="00B03D18">
        <w:rPr>
          <w:rFonts w:hint="eastAsia"/>
        </w:rPr>
        <w:t>34</w:t>
      </w:r>
      <w:r w:rsidR="00B03D18">
        <w:rPr>
          <w:rFonts w:hint="eastAsia"/>
        </w:rPr>
        <w:t>（</w:t>
      </w:r>
      <w:r w:rsidR="00B03D18">
        <w:rPr>
          <w:rFonts w:hint="eastAsia"/>
        </w:rPr>
        <w:t>1</w:t>
      </w:r>
      <w:r w:rsidR="00B03D18">
        <w:rPr>
          <w:rFonts w:hint="eastAsia"/>
        </w:rPr>
        <w:t>）</w:t>
      </w:r>
      <w:r w:rsidR="00B03D18">
        <w:rPr>
          <w:rFonts w:hint="eastAsia"/>
        </w:rPr>
        <w:t xml:space="preserve"> </w:t>
      </w:r>
      <w:r w:rsidRPr="005B4D1E">
        <w:rPr>
          <w:rFonts w:hint="eastAsia"/>
        </w:rPr>
        <w:t>某猪场</w:t>
      </w:r>
      <w:r w:rsidRPr="005B4D1E">
        <w:rPr>
          <w:rFonts w:hint="eastAsia"/>
        </w:rPr>
        <w:t>2007-2012</w:t>
      </w:r>
      <w:r w:rsidRPr="005B4D1E">
        <w:rPr>
          <w:rFonts w:hint="eastAsia"/>
        </w:rPr>
        <w:t>年不同年份抗体统计表</w:t>
      </w:r>
      <w:bookmarkEnd w:id="90"/>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noProof/>
          <w:sz w:val="21"/>
          <w:szCs w:val="21"/>
        </w:rPr>
        <w:drawing>
          <wp:inline distT="0" distB="0" distL="0" distR="0">
            <wp:extent cx="2792625" cy="6307135"/>
            <wp:effectExtent l="1771650" t="0" r="1760325"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pic:cNvPicPr>
                      <a:picLocks noChangeAspect="1" noChangeArrowheads="1"/>
                    </pic:cNvPicPr>
                  </pic:nvPicPr>
                  <pic:blipFill>
                    <a:blip r:embed="rId83" cstate="print"/>
                    <a:srcRect/>
                    <a:stretch>
                      <a:fillRect/>
                    </a:stretch>
                  </pic:blipFill>
                  <pic:spPr bwMode="auto">
                    <a:xfrm rot="5400000">
                      <a:off x="0" y="0"/>
                      <a:ext cx="2793522" cy="6309160"/>
                    </a:xfrm>
                    <a:prstGeom prst="rect">
                      <a:avLst/>
                    </a:prstGeom>
                    <a:noFill/>
                    <a:ln w="9525">
                      <a:noFill/>
                      <a:miter lim="800000"/>
                      <a:headEnd/>
                      <a:tailEnd/>
                    </a:ln>
                  </pic:spPr>
                </pic:pic>
              </a:graphicData>
            </a:graphic>
          </wp:inline>
        </w:drawing>
      </w:r>
    </w:p>
    <w:p w:rsidR="00B03D18" w:rsidRDefault="00B03D18" w:rsidP="009D14A5">
      <w:pPr>
        <w:tabs>
          <w:tab w:val="left" w:pos="6519"/>
        </w:tabs>
        <w:wordWrap w:val="0"/>
        <w:spacing w:line="360" w:lineRule="auto"/>
        <w:rPr>
          <w:rFonts w:ascii="宋体" w:eastAsia="宋体" w:hAnsi="宋体"/>
          <w:b/>
          <w:bCs/>
          <w:sz w:val="21"/>
          <w:szCs w:val="21"/>
        </w:rPr>
      </w:pPr>
    </w:p>
    <w:p w:rsidR="00B03D18" w:rsidRDefault="00B03D18" w:rsidP="009D14A5">
      <w:pPr>
        <w:tabs>
          <w:tab w:val="left" w:pos="6519"/>
        </w:tabs>
        <w:wordWrap w:val="0"/>
        <w:spacing w:line="360" w:lineRule="auto"/>
        <w:rPr>
          <w:rFonts w:ascii="宋体" w:eastAsia="宋体" w:hAnsi="宋体"/>
          <w:b/>
          <w:bCs/>
          <w:sz w:val="21"/>
          <w:szCs w:val="21"/>
        </w:rPr>
      </w:pPr>
    </w:p>
    <w:p w:rsidR="00B03D18" w:rsidRDefault="00B03D18" w:rsidP="009D14A5">
      <w:pPr>
        <w:tabs>
          <w:tab w:val="left" w:pos="6519"/>
        </w:tabs>
        <w:wordWrap w:val="0"/>
        <w:spacing w:line="360" w:lineRule="auto"/>
        <w:rPr>
          <w:rFonts w:ascii="宋体" w:eastAsia="宋体" w:hAnsi="宋体"/>
          <w:b/>
          <w:bCs/>
          <w:sz w:val="21"/>
          <w:szCs w:val="21"/>
        </w:rPr>
      </w:pPr>
    </w:p>
    <w:p w:rsidR="00B03D18" w:rsidRDefault="00B03D18" w:rsidP="009D14A5">
      <w:pPr>
        <w:tabs>
          <w:tab w:val="left" w:pos="6519"/>
        </w:tabs>
        <w:wordWrap w:val="0"/>
        <w:spacing w:line="360" w:lineRule="auto"/>
        <w:rPr>
          <w:rFonts w:ascii="宋体" w:eastAsia="宋体" w:hAnsi="宋体"/>
          <w:b/>
          <w:bCs/>
          <w:sz w:val="21"/>
          <w:szCs w:val="21"/>
        </w:rPr>
      </w:pPr>
    </w:p>
    <w:p w:rsidR="00B03D18" w:rsidRDefault="00B03D18" w:rsidP="009D14A5">
      <w:pPr>
        <w:tabs>
          <w:tab w:val="left" w:pos="6519"/>
        </w:tabs>
        <w:wordWrap w:val="0"/>
        <w:spacing w:line="360" w:lineRule="auto"/>
        <w:rPr>
          <w:rFonts w:ascii="宋体" w:eastAsia="宋体" w:hAnsi="宋体"/>
          <w:b/>
          <w:bCs/>
          <w:sz w:val="21"/>
          <w:szCs w:val="21"/>
        </w:rPr>
      </w:pPr>
    </w:p>
    <w:p w:rsidR="00B03D18" w:rsidRDefault="00B03D18" w:rsidP="009D14A5">
      <w:pPr>
        <w:tabs>
          <w:tab w:val="left" w:pos="6519"/>
        </w:tabs>
        <w:wordWrap w:val="0"/>
        <w:spacing w:line="360" w:lineRule="auto"/>
        <w:rPr>
          <w:rFonts w:ascii="宋体" w:eastAsia="宋体" w:hAnsi="宋体"/>
          <w:b/>
          <w:bCs/>
          <w:sz w:val="21"/>
          <w:szCs w:val="21"/>
        </w:rPr>
      </w:pPr>
    </w:p>
    <w:p w:rsidR="009D14A5" w:rsidRPr="005B4D1E" w:rsidRDefault="009D14A5" w:rsidP="00B03D18">
      <w:pPr>
        <w:pStyle w:val="a6"/>
        <w:spacing w:before="156"/>
      </w:pPr>
      <w:bookmarkStart w:id="91" w:name="_Toc405816437"/>
      <w:r w:rsidRPr="005B4D1E">
        <w:rPr>
          <w:rFonts w:hint="eastAsia"/>
        </w:rPr>
        <w:lastRenderedPageBreak/>
        <w:t>表</w:t>
      </w:r>
      <w:r w:rsidR="00B03D18">
        <w:rPr>
          <w:rFonts w:hint="eastAsia"/>
        </w:rPr>
        <w:t>34</w:t>
      </w:r>
      <w:r w:rsidR="00B03D18">
        <w:rPr>
          <w:rFonts w:hint="eastAsia"/>
        </w:rPr>
        <w:t>（</w:t>
      </w:r>
      <w:r w:rsidR="00B03D18">
        <w:rPr>
          <w:rFonts w:hint="eastAsia"/>
        </w:rPr>
        <w:t>2</w:t>
      </w:r>
      <w:r w:rsidR="00B03D18">
        <w:rPr>
          <w:rFonts w:hint="eastAsia"/>
        </w:rPr>
        <w:t>）</w:t>
      </w:r>
      <w:r w:rsidR="00B03D18">
        <w:rPr>
          <w:rFonts w:hint="eastAsia"/>
        </w:rPr>
        <w:t xml:space="preserve"> </w:t>
      </w:r>
      <w:r w:rsidRPr="005B4D1E">
        <w:rPr>
          <w:rFonts w:hint="eastAsia"/>
        </w:rPr>
        <w:t>某猪场</w:t>
      </w:r>
      <w:r w:rsidRPr="005B4D1E">
        <w:rPr>
          <w:rFonts w:hint="eastAsia"/>
        </w:rPr>
        <w:t>2007-2012</w:t>
      </w:r>
      <w:r w:rsidRPr="005B4D1E">
        <w:rPr>
          <w:rFonts w:hint="eastAsia"/>
        </w:rPr>
        <w:t>年不同年份抗体统计表</w:t>
      </w:r>
      <w:bookmarkEnd w:id="91"/>
    </w:p>
    <w:p w:rsidR="009D14A5" w:rsidRPr="005B4D1E" w:rsidRDefault="009D14A5" w:rsidP="009D14A5">
      <w:pPr>
        <w:tabs>
          <w:tab w:val="left" w:pos="6519"/>
        </w:tabs>
        <w:wordWrap w:val="0"/>
        <w:spacing w:line="360" w:lineRule="auto"/>
        <w:rPr>
          <w:rFonts w:ascii="宋体" w:eastAsia="宋体" w:hAnsi="宋体"/>
          <w:b/>
          <w:bCs/>
          <w:sz w:val="21"/>
          <w:szCs w:val="21"/>
        </w:rPr>
      </w:pPr>
      <w:r w:rsidRPr="005B4D1E">
        <w:rPr>
          <w:rFonts w:ascii="宋体" w:eastAsia="宋体" w:hAnsi="宋体"/>
          <w:noProof/>
          <w:sz w:val="21"/>
          <w:szCs w:val="21"/>
        </w:rPr>
        <w:drawing>
          <wp:inline distT="0" distB="0" distL="0" distR="0">
            <wp:extent cx="2795238" cy="5911991"/>
            <wp:effectExtent l="1581150" t="0" r="1567212"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pic:cNvPicPr>
                      <a:picLocks noChangeAspect="1" noChangeArrowheads="1"/>
                    </pic:cNvPicPr>
                  </pic:nvPicPr>
                  <pic:blipFill>
                    <a:blip r:embed="rId84" cstate="print"/>
                    <a:srcRect/>
                    <a:stretch>
                      <a:fillRect/>
                    </a:stretch>
                  </pic:blipFill>
                  <pic:spPr bwMode="auto">
                    <a:xfrm rot="5400000">
                      <a:off x="0" y="0"/>
                      <a:ext cx="2797622" cy="5917034"/>
                    </a:xfrm>
                    <a:prstGeom prst="rect">
                      <a:avLst/>
                    </a:prstGeom>
                    <a:noFill/>
                    <a:ln w="9525">
                      <a:noFill/>
                      <a:miter lim="800000"/>
                      <a:headEnd/>
                      <a:tailEnd/>
                    </a:ln>
                  </pic:spPr>
                </pic:pic>
              </a:graphicData>
            </a:graphic>
          </wp:inline>
        </w:drawing>
      </w:r>
    </w:p>
    <w:p w:rsidR="009D14A5" w:rsidRPr="005B4D1E" w:rsidRDefault="009D14A5" w:rsidP="009D14A5">
      <w:pPr>
        <w:tabs>
          <w:tab w:val="left" w:pos="6519"/>
        </w:tabs>
        <w:wordWrap w:val="0"/>
        <w:spacing w:line="360" w:lineRule="auto"/>
        <w:jc w:val="center"/>
        <w:rPr>
          <w:rFonts w:ascii="宋体" w:eastAsia="宋体" w:hAnsi="宋体"/>
          <w:b/>
          <w:bCs/>
          <w:sz w:val="21"/>
          <w:szCs w:val="21"/>
        </w:rPr>
      </w:pPr>
      <w:r w:rsidRPr="005B4D1E">
        <w:rPr>
          <w:rFonts w:ascii="宋体" w:eastAsia="宋体" w:hAnsi="宋体"/>
          <w:noProof/>
          <w:sz w:val="21"/>
          <w:szCs w:val="21"/>
        </w:rPr>
        <w:lastRenderedPageBreak/>
        <w:drawing>
          <wp:inline distT="0" distB="0" distL="0" distR="0">
            <wp:extent cx="4434205" cy="7375525"/>
            <wp:effectExtent l="19050" t="0" r="4445"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85" cstate="print"/>
                    <a:srcRect/>
                    <a:stretch>
                      <a:fillRect/>
                    </a:stretch>
                  </pic:blipFill>
                  <pic:spPr bwMode="auto">
                    <a:xfrm>
                      <a:off x="0" y="0"/>
                      <a:ext cx="4434205" cy="7375525"/>
                    </a:xfrm>
                    <a:prstGeom prst="rect">
                      <a:avLst/>
                    </a:prstGeom>
                    <a:noFill/>
                    <a:ln w="9525">
                      <a:noFill/>
                      <a:miter lim="800000"/>
                      <a:headEnd/>
                      <a:tailEnd/>
                    </a:ln>
                  </pic:spPr>
                </pic:pic>
              </a:graphicData>
            </a:graphic>
          </wp:inline>
        </w:drawing>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A：全部猪群各年抗体阳性率；B:各年不同日龄阶段猪群抗体阳性率：C：不同年份猪群抗体阳性率比较；D:各年不同日龄阶段猪群抗体阳性率比较</w:t>
      </w:r>
    </w:p>
    <w:p w:rsidR="009D14A5" w:rsidRPr="005B4D1E" w:rsidRDefault="009D14A5" w:rsidP="00B03D18">
      <w:pPr>
        <w:pStyle w:val="a5"/>
        <w:spacing w:after="156"/>
      </w:pPr>
      <w:bookmarkStart w:id="92" w:name="_Toc405816348"/>
      <w:r w:rsidRPr="005B4D1E">
        <w:rPr>
          <w:rFonts w:hint="eastAsia"/>
        </w:rPr>
        <w:t>图</w:t>
      </w:r>
      <w:r w:rsidR="00B03D18">
        <w:rPr>
          <w:rFonts w:hint="eastAsia"/>
        </w:rPr>
        <w:t xml:space="preserve">44 </w:t>
      </w:r>
      <w:r w:rsidRPr="005B4D1E">
        <w:rPr>
          <w:rFonts w:hint="eastAsia"/>
        </w:rPr>
        <w:t>2007-2012</w:t>
      </w:r>
      <w:r w:rsidRPr="005B4D1E">
        <w:rPr>
          <w:rFonts w:hint="eastAsia"/>
        </w:rPr>
        <w:t>年疫苗免疫猪群</w:t>
      </w:r>
      <w:r w:rsidRPr="005B4D1E">
        <w:rPr>
          <w:rFonts w:hint="eastAsia"/>
        </w:rPr>
        <w:t>PRRSV</w:t>
      </w:r>
      <w:r w:rsidRPr="005B4D1E">
        <w:rPr>
          <w:rFonts w:hint="eastAsia"/>
        </w:rPr>
        <w:t>抗体监测结果</w:t>
      </w:r>
      <w:bookmarkEnd w:id="92"/>
    </w:p>
    <w:p w:rsidR="00B03D18" w:rsidRDefault="00B03D18" w:rsidP="009D14A5">
      <w:pPr>
        <w:tabs>
          <w:tab w:val="left" w:pos="7597"/>
        </w:tabs>
        <w:wordWrap w:val="0"/>
        <w:spacing w:line="360" w:lineRule="auto"/>
        <w:rPr>
          <w:rFonts w:ascii="宋体" w:eastAsia="宋体" w:hAnsi="宋体"/>
          <w:b/>
          <w:bCs/>
          <w:sz w:val="21"/>
          <w:szCs w:val="21"/>
        </w:rPr>
      </w:pPr>
    </w:p>
    <w:p w:rsidR="009D14A5" w:rsidRPr="005B4D1E" w:rsidRDefault="009D14A5" w:rsidP="00B03D18">
      <w:pPr>
        <w:pStyle w:val="a6"/>
        <w:spacing w:before="156"/>
      </w:pPr>
      <w:bookmarkStart w:id="93" w:name="_Toc405816438"/>
      <w:r w:rsidRPr="005B4D1E">
        <w:rPr>
          <w:rFonts w:hint="eastAsia"/>
        </w:rPr>
        <w:lastRenderedPageBreak/>
        <w:t>表</w:t>
      </w:r>
      <w:r w:rsidR="00B03D18">
        <w:rPr>
          <w:rFonts w:hint="eastAsia"/>
        </w:rPr>
        <w:t xml:space="preserve">35 </w:t>
      </w:r>
      <w:r w:rsidRPr="005B4D1E">
        <w:rPr>
          <w:rFonts w:hint="eastAsia"/>
        </w:rPr>
        <w:t>2007-2012</w:t>
      </w:r>
      <w:r w:rsidRPr="005B4D1E">
        <w:rPr>
          <w:rFonts w:hint="eastAsia"/>
        </w:rPr>
        <w:t>年不同日龄猪群</w:t>
      </w:r>
      <w:r w:rsidRPr="005B4D1E">
        <w:rPr>
          <w:rFonts w:hint="eastAsia"/>
        </w:rPr>
        <w:t>PRRSV</w:t>
      </w:r>
      <w:r w:rsidRPr="005B4D1E">
        <w:rPr>
          <w:rFonts w:hint="eastAsia"/>
        </w:rPr>
        <w:t>抗体</w:t>
      </w:r>
      <w:r w:rsidRPr="005B4D1E">
        <w:t>S/P(Mean±SD</w:t>
      </w:r>
      <w:r w:rsidRPr="005B4D1E">
        <w:rPr>
          <w:rFonts w:hint="eastAsia"/>
        </w:rPr>
        <w:t>)</w:t>
      </w:r>
      <w:r w:rsidRPr="005B4D1E">
        <w:rPr>
          <w:rFonts w:hint="eastAsia"/>
        </w:rPr>
        <w:t>的变异分析</w:t>
      </w:r>
      <w:bookmarkEnd w:id="93"/>
    </w:p>
    <w:p w:rsidR="009D14A5" w:rsidRPr="005B4D1E" w:rsidRDefault="009D14A5" w:rsidP="009D14A5">
      <w:pPr>
        <w:tabs>
          <w:tab w:val="left" w:pos="6519"/>
        </w:tabs>
        <w:wordWrap w:val="0"/>
        <w:spacing w:line="360" w:lineRule="auto"/>
        <w:rPr>
          <w:rFonts w:ascii="宋体" w:eastAsia="宋体" w:hAnsi="宋体"/>
          <w:b/>
          <w:bCs/>
          <w:sz w:val="21"/>
          <w:szCs w:val="21"/>
        </w:rPr>
      </w:pPr>
      <w:r w:rsidRPr="005B4D1E">
        <w:rPr>
          <w:rFonts w:ascii="宋体" w:eastAsia="宋体" w:hAnsi="宋体"/>
          <w:noProof/>
          <w:sz w:val="21"/>
          <w:szCs w:val="21"/>
        </w:rPr>
        <w:drawing>
          <wp:inline distT="0" distB="0" distL="0" distR="0">
            <wp:extent cx="2767684" cy="6014472"/>
            <wp:effectExtent l="1638300" t="0" r="1632866"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pic:cNvPicPr>
                      <a:picLocks noChangeAspect="1" noChangeArrowheads="1"/>
                    </pic:cNvPicPr>
                  </pic:nvPicPr>
                  <pic:blipFill>
                    <a:blip r:embed="rId86" cstate="print"/>
                    <a:srcRect/>
                    <a:stretch>
                      <a:fillRect/>
                    </a:stretch>
                  </pic:blipFill>
                  <pic:spPr bwMode="auto">
                    <a:xfrm rot="5400000">
                      <a:off x="0" y="0"/>
                      <a:ext cx="2770107" cy="6019738"/>
                    </a:xfrm>
                    <a:prstGeom prst="rect">
                      <a:avLst/>
                    </a:prstGeom>
                    <a:noFill/>
                    <a:ln w="9525">
                      <a:noFill/>
                      <a:miter lim="800000"/>
                      <a:headEnd/>
                      <a:tailEnd/>
                    </a:ln>
                  </pic:spPr>
                </pic:pic>
              </a:graphicData>
            </a:graphic>
          </wp:inline>
        </w:drawing>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注：a-d代表显著水平为0.05；A-D代表显著水平为0.01。</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noProof/>
          <w:sz w:val="21"/>
          <w:szCs w:val="21"/>
        </w:rPr>
        <w:lastRenderedPageBreak/>
        <w:drawing>
          <wp:inline distT="0" distB="0" distL="0" distR="0">
            <wp:extent cx="5270500" cy="3364230"/>
            <wp:effectExtent l="19050" t="0" r="635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pic:cNvPicPr>
                      <a:picLocks noChangeAspect="1" noChangeArrowheads="1"/>
                    </pic:cNvPicPr>
                  </pic:nvPicPr>
                  <pic:blipFill>
                    <a:blip r:embed="rId87" cstate="print"/>
                    <a:srcRect/>
                    <a:stretch>
                      <a:fillRect/>
                    </a:stretch>
                  </pic:blipFill>
                  <pic:spPr bwMode="auto">
                    <a:xfrm>
                      <a:off x="0" y="0"/>
                      <a:ext cx="5270500" cy="3364230"/>
                    </a:xfrm>
                    <a:prstGeom prst="rect">
                      <a:avLst/>
                    </a:prstGeom>
                    <a:noFill/>
                    <a:ln w="9525">
                      <a:noFill/>
                      <a:miter lim="800000"/>
                      <a:headEnd/>
                      <a:tailEnd/>
                    </a:ln>
                  </pic:spPr>
                </pic:pic>
              </a:graphicData>
            </a:graphic>
          </wp:inline>
        </w:drawing>
      </w:r>
    </w:p>
    <w:p w:rsidR="009D14A5" w:rsidRPr="005B4D1E" w:rsidRDefault="009D14A5" w:rsidP="00B03D18">
      <w:pPr>
        <w:pStyle w:val="a5"/>
        <w:spacing w:after="156"/>
      </w:pPr>
      <w:bookmarkStart w:id="94" w:name="_Toc405816349"/>
      <w:r w:rsidRPr="005B4D1E">
        <w:rPr>
          <w:rFonts w:hint="eastAsia"/>
        </w:rPr>
        <w:t>图</w:t>
      </w:r>
      <w:r w:rsidR="00B03D18">
        <w:rPr>
          <w:rFonts w:hint="eastAsia"/>
        </w:rPr>
        <w:t xml:space="preserve">45 </w:t>
      </w:r>
      <w:r w:rsidRPr="005B4D1E">
        <w:rPr>
          <w:rFonts w:hint="eastAsia"/>
        </w:rPr>
        <w:t>2007</w:t>
      </w:r>
      <w:r w:rsidRPr="005B4D1E">
        <w:rPr>
          <w:rFonts w:hint="eastAsia"/>
        </w:rPr>
        <w:t>年不同日龄阶段猪群</w:t>
      </w:r>
      <w:r w:rsidRPr="005B4D1E">
        <w:rPr>
          <w:rFonts w:hint="eastAsia"/>
        </w:rPr>
        <w:t>PRRSV</w:t>
      </w:r>
      <w:r w:rsidRPr="005B4D1E">
        <w:rPr>
          <w:rFonts w:hint="eastAsia"/>
        </w:rPr>
        <w:t>抗体阳性率</w:t>
      </w:r>
      <w:r w:rsidRPr="005B4D1E">
        <w:rPr>
          <w:rFonts w:hint="eastAsia"/>
        </w:rPr>
        <w:t>(A)</w:t>
      </w:r>
      <w:r w:rsidRPr="005B4D1E">
        <w:rPr>
          <w:rFonts w:hint="eastAsia"/>
        </w:rPr>
        <w:t>及</w:t>
      </w:r>
      <w:r w:rsidRPr="005B4D1E">
        <w:rPr>
          <w:rFonts w:hint="eastAsia"/>
        </w:rPr>
        <w:t>S/P</w:t>
      </w:r>
      <w:r w:rsidRPr="005B4D1E">
        <w:rPr>
          <w:rFonts w:hint="eastAsia"/>
        </w:rPr>
        <w:t>均值</w:t>
      </w:r>
      <w:r w:rsidRPr="005B4D1E">
        <w:rPr>
          <w:rFonts w:hint="eastAsia"/>
        </w:rPr>
        <w:t>(B)</w:t>
      </w:r>
      <w:r w:rsidRPr="005B4D1E">
        <w:rPr>
          <w:rFonts w:hint="eastAsia"/>
        </w:rPr>
        <w:t>、个体值</w:t>
      </w:r>
      <w:r w:rsidRPr="005B4D1E">
        <w:rPr>
          <w:rFonts w:hint="eastAsia"/>
        </w:rPr>
        <w:t>(C)</w:t>
      </w:r>
      <w:bookmarkEnd w:id="94"/>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noProof/>
          <w:sz w:val="21"/>
          <w:szCs w:val="21"/>
        </w:rPr>
        <w:drawing>
          <wp:inline distT="0" distB="0" distL="0" distR="0">
            <wp:extent cx="5270500" cy="3450590"/>
            <wp:effectExtent l="19050" t="0" r="635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pic:cNvPicPr>
                      <a:picLocks noChangeAspect="1" noChangeArrowheads="1"/>
                    </pic:cNvPicPr>
                  </pic:nvPicPr>
                  <pic:blipFill>
                    <a:blip r:embed="rId88" cstate="print"/>
                    <a:srcRect/>
                    <a:stretch>
                      <a:fillRect/>
                    </a:stretch>
                  </pic:blipFill>
                  <pic:spPr bwMode="auto">
                    <a:xfrm>
                      <a:off x="0" y="0"/>
                      <a:ext cx="5270500" cy="3450590"/>
                    </a:xfrm>
                    <a:prstGeom prst="rect">
                      <a:avLst/>
                    </a:prstGeom>
                    <a:noFill/>
                    <a:ln w="9525">
                      <a:noFill/>
                      <a:miter lim="800000"/>
                      <a:headEnd/>
                      <a:tailEnd/>
                    </a:ln>
                  </pic:spPr>
                </pic:pic>
              </a:graphicData>
            </a:graphic>
          </wp:inline>
        </w:drawing>
      </w:r>
    </w:p>
    <w:p w:rsidR="009D14A5" w:rsidRPr="005B4D1E" w:rsidRDefault="009D14A5" w:rsidP="00B03D18">
      <w:pPr>
        <w:pStyle w:val="a5"/>
        <w:spacing w:after="156"/>
      </w:pPr>
      <w:bookmarkStart w:id="95" w:name="_Toc405816350"/>
      <w:r w:rsidRPr="005B4D1E">
        <w:rPr>
          <w:rFonts w:hint="eastAsia"/>
        </w:rPr>
        <w:t>图</w:t>
      </w:r>
      <w:r w:rsidR="00B03D18">
        <w:rPr>
          <w:rFonts w:hint="eastAsia"/>
        </w:rPr>
        <w:t xml:space="preserve">46 </w:t>
      </w:r>
      <w:r w:rsidRPr="005B4D1E">
        <w:rPr>
          <w:rFonts w:hint="eastAsia"/>
        </w:rPr>
        <w:t>2008</w:t>
      </w:r>
      <w:r w:rsidRPr="005B4D1E">
        <w:rPr>
          <w:rFonts w:hint="eastAsia"/>
        </w:rPr>
        <w:t>年不同日龄阶段猪群</w:t>
      </w:r>
      <w:r w:rsidRPr="005B4D1E">
        <w:rPr>
          <w:rFonts w:hint="eastAsia"/>
        </w:rPr>
        <w:t>PRRSV</w:t>
      </w:r>
      <w:r w:rsidRPr="005B4D1E">
        <w:rPr>
          <w:rFonts w:hint="eastAsia"/>
        </w:rPr>
        <w:t>抗体阳性率</w:t>
      </w:r>
      <w:r w:rsidRPr="005B4D1E">
        <w:rPr>
          <w:rFonts w:hint="eastAsia"/>
        </w:rPr>
        <w:t>(A)</w:t>
      </w:r>
      <w:r w:rsidRPr="005B4D1E">
        <w:rPr>
          <w:rFonts w:hint="eastAsia"/>
        </w:rPr>
        <w:t>及</w:t>
      </w:r>
      <w:r w:rsidRPr="005B4D1E">
        <w:rPr>
          <w:rFonts w:hint="eastAsia"/>
        </w:rPr>
        <w:t>S/P</w:t>
      </w:r>
      <w:r w:rsidRPr="005B4D1E">
        <w:rPr>
          <w:rFonts w:hint="eastAsia"/>
        </w:rPr>
        <w:t>均值</w:t>
      </w:r>
      <w:r w:rsidRPr="005B4D1E">
        <w:rPr>
          <w:rFonts w:hint="eastAsia"/>
        </w:rPr>
        <w:t>(B)</w:t>
      </w:r>
      <w:r w:rsidRPr="005B4D1E">
        <w:rPr>
          <w:rFonts w:hint="eastAsia"/>
        </w:rPr>
        <w:t>、个体值</w:t>
      </w:r>
      <w:r w:rsidRPr="005B4D1E">
        <w:rPr>
          <w:rFonts w:hint="eastAsia"/>
        </w:rPr>
        <w:t>(C)</w:t>
      </w:r>
      <w:bookmarkEnd w:id="95"/>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noProof/>
          <w:sz w:val="21"/>
          <w:szCs w:val="21"/>
        </w:rPr>
        <w:lastRenderedPageBreak/>
        <w:drawing>
          <wp:inline distT="0" distB="0" distL="0" distR="0">
            <wp:extent cx="5270500" cy="3580130"/>
            <wp:effectExtent l="19050" t="0" r="635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pic:cNvPicPr>
                      <a:picLocks noChangeAspect="1" noChangeArrowheads="1"/>
                    </pic:cNvPicPr>
                  </pic:nvPicPr>
                  <pic:blipFill>
                    <a:blip r:embed="rId89" cstate="print"/>
                    <a:srcRect/>
                    <a:stretch>
                      <a:fillRect/>
                    </a:stretch>
                  </pic:blipFill>
                  <pic:spPr bwMode="auto">
                    <a:xfrm>
                      <a:off x="0" y="0"/>
                      <a:ext cx="5270500" cy="3580130"/>
                    </a:xfrm>
                    <a:prstGeom prst="rect">
                      <a:avLst/>
                    </a:prstGeom>
                    <a:noFill/>
                    <a:ln w="9525">
                      <a:noFill/>
                      <a:miter lim="800000"/>
                      <a:headEnd/>
                      <a:tailEnd/>
                    </a:ln>
                  </pic:spPr>
                </pic:pic>
              </a:graphicData>
            </a:graphic>
          </wp:inline>
        </w:drawing>
      </w:r>
    </w:p>
    <w:p w:rsidR="009D14A5" w:rsidRPr="005B4D1E" w:rsidRDefault="009D14A5" w:rsidP="00B03D18">
      <w:pPr>
        <w:pStyle w:val="a5"/>
        <w:spacing w:after="156"/>
      </w:pPr>
      <w:bookmarkStart w:id="96" w:name="_Toc405816351"/>
      <w:r w:rsidRPr="005B4D1E">
        <w:rPr>
          <w:rFonts w:hint="eastAsia"/>
        </w:rPr>
        <w:t>图</w:t>
      </w:r>
      <w:r w:rsidR="00B03D18">
        <w:rPr>
          <w:rFonts w:hint="eastAsia"/>
        </w:rPr>
        <w:t xml:space="preserve">47 </w:t>
      </w:r>
      <w:r w:rsidRPr="005B4D1E">
        <w:rPr>
          <w:rFonts w:hint="eastAsia"/>
        </w:rPr>
        <w:t>2009</w:t>
      </w:r>
      <w:r w:rsidRPr="005B4D1E">
        <w:rPr>
          <w:rFonts w:hint="eastAsia"/>
        </w:rPr>
        <w:t>年不同日龄阶段猪群</w:t>
      </w:r>
      <w:r w:rsidRPr="005B4D1E">
        <w:rPr>
          <w:rFonts w:hint="eastAsia"/>
        </w:rPr>
        <w:t>PRRSV</w:t>
      </w:r>
      <w:r w:rsidRPr="005B4D1E">
        <w:rPr>
          <w:rFonts w:hint="eastAsia"/>
        </w:rPr>
        <w:t>抗体阳性率</w:t>
      </w:r>
      <w:r w:rsidRPr="005B4D1E">
        <w:rPr>
          <w:rFonts w:hint="eastAsia"/>
        </w:rPr>
        <w:t>(A)</w:t>
      </w:r>
      <w:r w:rsidRPr="005B4D1E">
        <w:rPr>
          <w:rFonts w:hint="eastAsia"/>
        </w:rPr>
        <w:t>及</w:t>
      </w:r>
      <w:r w:rsidRPr="005B4D1E">
        <w:rPr>
          <w:rFonts w:hint="eastAsia"/>
        </w:rPr>
        <w:t>S/P</w:t>
      </w:r>
      <w:r w:rsidRPr="005B4D1E">
        <w:rPr>
          <w:rFonts w:hint="eastAsia"/>
        </w:rPr>
        <w:t>均值</w:t>
      </w:r>
      <w:r w:rsidRPr="005B4D1E">
        <w:rPr>
          <w:rFonts w:hint="eastAsia"/>
        </w:rPr>
        <w:t>(B)</w:t>
      </w:r>
      <w:r w:rsidRPr="005B4D1E">
        <w:rPr>
          <w:rFonts w:hint="eastAsia"/>
        </w:rPr>
        <w:t>、个体值</w:t>
      </w:r>
      <w:r w:rsidRPr="005B4D1E">
        <w:rPr>
          <w:rFonts w:hint="eastAsia"/>
        </w:rPr>
        <w:t>(C)</w:t>
      </w:r>
      <w:bookmarkEnd w:id="96"/>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noProof/>
          <w:sz w:val="21"/>
          <w:szCs w:val="21"/>
        </w:rPr>
        <w:drawing>
          <wp:inline distT="0" distB="0" distL="0" distR="0">
            <wp:extent cx="5270500" cy="3648710"/>
            <wp:effectExtent l="19050" t="0" r="635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pic:cNvPicPr>
                      <a:picLocks noChangeAspect="1" noChangeArrowheads="1"/>
                    </pic:cNvPicPr>
                  </pic:nvPicPr>
                  <pic:blipFill>
                    <a:blip r:embed="rId90" cstate="print"/>
                    <a:srcRect/>
                    <a:stretch>
                      <a:fillRect/>
                    </a:stretch>
                  </pic:blipFill>
                  <pic:spPr bwMode="auto">
                    <a:xfrm>
                      <a:off x="0" y="0"/>
                      <a:ext cx="5270500" cy="3648710"/>
                    </a:xfrm>
                    <a:prstGeom prst="rect">
                      <a:avLst/>
                    </a:prstGeom>
                    <a:noFill/>
                    <a:ln w="9525">
                      <a:noFill/>
                      <a:miter lim="800000"/>
                      <a:headEnd/>
                      <a:tailEnd/>
                    </a:ln>
                  </pic:spPr>
                </pic:pic>
              </a:graphicData>
            </a:graphic>
          </wp:inline>
        </w:drawing>
      </w:r>
    </w:p>
    <w:p w:rsidR="009D14A5" w:rsidRPr="005B4D1E" w:rsidRDefault="009D14A5" w:rsidP="00B03D18">
      <w:pPr>
        <w:pStyle w:val="a5"/>
        <w:spacing w:after="156"/>
      </w:pPr>
      <w:bookmarkStart w:id="97" w:name="_Toc405816352"/>
      <w:r w:rsidRPr="005B4D1E">
        <w:rPr>
          <w:rFonts w:hint="eastAsia"/>
        </w:rPr>
        <w:t>图</w:t>
      </w:r>
      <w:r w:rsidR="00B03D18">
        <w:rPr>
          <w:rFonts w:hint="eastAsia"/>
        </w:rPr>
        <w:t xml:space="preserve">48 </w:t>
      </w:r>
      <w:r w:rsidRPr="005B4D1E">
        <w:rPr>
          <w:rFonts w:hint="eastAsia"/>
        </w:rPr>
        <w:t>2010</w:t>
      </w:r>
      <w:r w:rsidRPr="005B4D1E">
        <w:rPr>
          <w:rFonts w:hint="eastAsia"/>
        </w:rPr>
        <w:t>年不同日龄阶段猪群</w:t>
      </w:r>
      <w:r w:rsidRPr="005B4D1E">
        <w:rPr>
          <w:rFonts w:hint="eastAsia"/>
        </w:rPr>
        <w:t>PRRSV</w:t>
      </w:r>
      <w:r w:rsidRPr="005B4D1E">
        <w:rPr>
          <w:rFonts w:hint="eastAsia"/>
        </w:rPr>
        <w:t>抗体阳性率</w:t>
      </w:r>
      <w:r w:rsidRPr="005B4D1E">
        <w:rPr>
          <w:rFonts w:hint="eastAsia"/>
        </w:rPr>
        <w:t>(A)</w:t>
      </w:r>
      <w:r w:rsidRPr="005B4D1E">
        <w:rPr>
          <w:rFonts w:hint="eastAsia"/>
        </w:rPr>
        <w:t>及</w:t>
      </w:r>
      <w:r w:rsidRPr="005B4D1E">
        <w:rPr>
          <w:rFonts w:hint="eastAsia"/>
        </w:rPr>
        <w:t>S/P</w:t>
      </w:r>
      <w:r w:rsidRPr="005B4D1E">
        <w:rPr>
          <w:rFonts w:hint="eastAsia"/>
        </w:rPr>
        <w:t>均值</w:t>
      </w:r>
      <w:r w:rsidRPr="005B4D1E">
        <w:rPr>
          <w:rFonts w:hint="eastAsia"/>
        </w:rPr>
        <w:t>(B)</w:t>
      </w:r>
      <w:r w:rsidRPr="005B4D1E">
        <w:rPr>
          <w:rFonts w:hint="eastAsia"/>
        </w:rPr>
        <w:t>、个体值</w:t>
      </w:r>
      <w:r w:rsidRPr="005B4D1E">
        <w:rPr>
          <w:rFonts w:hint="eastAsia"/>
        </w:rPr>
        <w:t>(C)</w:t>
      </w:r>
      <w:bookmarkEnd w:id="97"/>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lastRenderedPageBreak/>
        <w:drawing>
          <wp:inline distT="0" distB="0" distL="0" distR="0">
            <wp:extent cx="5270500" cy="3467735"/>
            <wp:effectExtent l="19050" t="0" r="635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
                    <pic:cNvPicPr>
                      <a:picLocks noChangeAspect="1" noChangeArrowheads="1"/>
                    </pic:cNvPicPr>
                  </pic:nvPicPr>
                  <pic:blipFill>
                    <a:blip r:embed="rId91" cstate="print"/>
                    <a:srcRect/>
                    <a:stretch>
                      <a:fillRect/>
                    </a:stretch>
                  </pic:blipFill>
                  <pic:spPr bwMode="auto">
                    <a:xfrm>
                      <a:off x="0" y="0"/>
                      <a:ext cx="5270500" cy="3467735"/>
                    </a:xfrm>
                    <a:prstGeom prst="rect">
                      <a:avLst/>
                    </a:prstGeom>
                    <a:noFill/>
                    <a:ln w="9525">
                      <a:noFill/>
                      <a:miter lim="800000"/>
                      <a:headEnd/>
                      <a:tailEnd/>
                    </a:ln>
                  </pic:spPr>
                </pic:pic>
              </a:graphicData>
            </a:graphic>
          </wp:inline>
        </w:drawing>
      </w:r>
    </w:p>
    <w:p w:rsidR="009D14A5" w:rsidRPr="005B4D1E" w:rsidRDefault="009D14A5" w:rsidP="00B03D18">
      <w:pPr>
        <w:pStyle w:val="a5"/>
        <w:spacing w:after="156"/>
      </w:pPr>
      <w:bookmarkStart w:id="98" w:name="_Toc405816353"/>
      <w:r w:rsidRPr="005B4D1E">
        <w:rPr>
          <w:rFonts w:hint="eastAsia"/>
        </w:rPr>
        <w:t>图</w:t>
      </w:r>
      <w:r w:rsidRPr="005B4D1E">
        <w:rPr>
          <w:rFonts w:hint="eastAsia"/>
        </w:rPr>
        <w:t>49 2011</w:t>
      </w:r>
      <w:r w:rsidRPr="005B4D1E">
        <w:rPr>
          <w:rFonts w:hint="eastAsia"/>
        </w:rPr>
        <w:t>年不同日龄阶段猪群</w:t>
      </w:r>
      <w:r w:rsidRPr="005B4D1E">
        <w:rPr>
          <w:rFonts w:hint="eastAsia"/>
        </w:rPr>
        <w:t>PRRSV</w:t>
      </w:r>
      <w:r w:rsidRPr="005B4D1E">
        <w:rPr>
          <w:rFonts w:hint="eastAsia"/>
        </w:rPr>
        <w:t>抗体阳性率</w:t>
      </w:r>
      <w:r w:rsidRPr="005B4D1E">
        <w:rPr>
          <w:rFonts w:hint="eastAsia"/>
        </w:rPr>
        <w:t>(A)</w:t>
      </w:r>
      <w:r w:rsidRPr="005B4D1E">
        <w:rPr>
          <w:rFonts w:hint="eastAsia"/>
        </w:rPr>
        <w:t>及</w:t>
      </w:r>
      <w:r w:rsidRPr="005B4D1E">
        <w:rPr>
          <w:rFonts w:hint="eastAsia"/>
        </w:rPr>
        <w:t>S/P</w:t>
      </w:r>
      <w:r w:rsidRPr="005B4D1E">
        <w:rPr>
          <w:rFonts w:hint="eastAsia"/>
        </w:rPr>
        <w:t>均值</w:t>
      </w:r>
      <w:r w:rsidRPr="005B4D1E">
        <w:rPr>
          <w:rFonts w:hint="eastAsia"/>
        </w:rPr>
        <w:t>(B)</w:t>
      </w:r>
      <w:r w:rsidRPr="005B4D1E">
        <w:rPr>
          <w:rFonts w:hint="eastAsia"/>
        </w:rPr>
        <w:t>、个体值</w:t>
      </w:r>
      <w:r w:rsidRPr="005B4D1E">
        <w:rPr>
          <w:rFonts w:hint="eastAsia"/>
        </w:rPr>
        <w:t>(C)</w:t>
      </w:r>
      <w:bookmarkEnd w:id="98"/>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5270500" cy="3536950"/>
            <wp:effectExtent l="19050" t="0" r="635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
                    <pic:cNvPicPr>
                      <a:picLocks noChangeAspect="1" noChangeArrowheads="1"/>
                    </pic:cNvPicPr>
                  </pic:nvPicPr>
                  <pic:blipFill>
                    <a:blip r:embed="rId92" cstate="print"/>
                    <a:srcRect/>
                    <a:stretch>
                      <a:fillRect/>
                    </a:stretch>
                  </pic:blipFill>
                  <pic:spPr bwMode="auto">
                    <a:xfrm>
                      <a:off x="0" y="0"/>
                      <a:ext cx="5270500" cy="3536950"/>
                    </a:xfrm>
                    <a:prstGeom prst="rect">
                      <a:avLst/>
                    </a:prstGeom>
                    <a:noFill/>
                    <a:ln w="9525">
                      <a:noFill/>
                      <a:miter lim="800000"/>
                      <a:headEnd/>
                      <a:tailEnd/>
                    </a:ln>
                  </pic:spPr>
                </pic:pic>
              </a:graphicData>
            </a:graphic>
          </wp:inline>
        </w:drawing>
      </w:r>
    </w:p>
    <w:p w:rsidR="009D14A5" w:rsidRPr="005B4D1E" w:rsidRDefault="009D14A5" w:rsidP="00B03D18">
      <w:pPr>
        <w:pStyle w:val="a5"/>
        <w:spacing w:after="156"/>
      </w:pPr>
      <w:bookmarkStart w:id="99" w:name="_Toc405816354"/>
      <w:r w:rsidRPr="005B4D1E">
        <w:rPr>
          <w:rFonts w:hint="eastAsia"/>
        </w:rPr>
        <w:t>图</w:t>
      </w:r>
      <w:r w:rsidR="00B03D18">
        <w:rPr>
          <w:rFonts w:hint="eastAsia"/>
        </w:rPr>
        <w:t xml:space="preserve">50 </w:t>
      </w:r>
      <w:r w:rsidRPr="005B4D1E">
        <w:rPr>
          <w:rFonts w:hint="eastAsia"/>
        </w:rPr>
        <w:t>2012</w:t>
      </w:r>
      <w:r w:rsidRPr="005B4D1E">
        <w:rPr>
          <w:rFonts w:hint="eastAsia"/>
        </w:rPr>
        <w:t>年不同日龄阶段猪群</w:t>
      </w:r>
      <w:r w:rsidRPr="005B4D1E">
        <w:rPr>
          <w:rFonts w:hint="eastAsia"/>
        </w:rPr>
        <w:t>PRRSV</w:t>
      </w:r>
      <w:r w:rsidRPr="005B4D1E">
        <w:rPr>
          <w:rFonts w:hint="eastAsia"/>
        </w:rPr>
        <w:t>抗体阳性率</w:t>
      </w:r>
      <w:r w:rsidRPr="005B4D1E">
        <w:rPr>
          <w:rFonts w:hint="eastAsia"/>
        </w:rPr>
        <w:t>(A)</w:t>
      </w:r>
      <w:r w:rsidRPr="005B4D1E">
        <w:rPr>
          <w:rFonts w:hint="eastAsia"/>
        </w:rPr>
        <w:t>及</w:t>
      </w:r>
      <w:r w:rsidRPr="005B4D1E">
        <w:rPr>
          <w:rFonts w:hint="eastAsia"/>
        </w:rPr>
        <w:t>S/P</w:t>
      </w:r>
      <w:r w:rsidRPr="005B4D1E">
        <w:rPr>
          <w:rFonts w:hint="eastAsia"/>
        </w:rPr>
        <w:t>均值</w:t>
      </w:r>
      <w:r w:rsidRPr="005B4D1E">
        <w:rPr>
          <w:rFonts w:hint="eastAsia"/>
        </w:rPr>
        <w:t>(B)</w:t>
      </w:r>
      <w:r w:rsidRPr="005B4D1E">
        <w:rPr>
          <w:rFonts w:hint="eastAsia"/>
        </w:rPr>
        <w:t>、个体值</w:t>
      </w:r>
      <w:r w:rsidRPr="005B4D1E">
        <w:rPr>
          <w:rFonts w:hint="eastAsia"/>
        </w:rPr>
        <w:t>(C)</w:t>
      </w:r>
      <w:bookmarkEnd w:id="99"/>
    </w:p>
    <w:p w:rsidR="009D14A5" w:rsidRPr="005B4D1E" w:rsidRDefault="009D14A5" w:rsidP="00B03D18">
      <w:pPr>
        <w:pStyle w:val="2"/>
      </w:pPr>
      <w:bookmarkStart w:id="100" w:name="_Toc405816282"/>
      <w:r w:rsidRPr="005B4D1E">
        <w:rPr>
          <w:rFonts w:hint="eastAsia"/>
        </w:rPr>
        <w:t>猪蓝耳病、猪口蹄疫、猪瘟疫苗不同免疫方法对免疫抗体效价的影响</w:t>
      </w:r>
      <w:bookmarkEnd w:id="100"/>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试验动物分组及免疫方法：</w:t>
      </w:r>
      <w:r w:rsidRPr="005B4D1E">
        <w:rPr>
          <w:rFonts w:ascii="宋体" w:eastAsia="宋体" w:hAnsi="宋体" w:hint="eastAsia"/>
          <w:sz w:val="21"/>
          <w:szCs w:val="21"/>
        </w:rPr>
        <w:t>38头窝36-38日龄健康长白</w:t>
      </w:r>
      <w:r w:rsidRPr="005B4D1E">
        <w:rPr>
          <w:rFonts w:ascii="宋体" w:eastAsia="宋体" w:hAnsi="宋体" w:cs="Arial"/>
          <w:sz w:val="21"/>
          <w:szCs w:val="21"/>
        </w:rPr>
        <w:t>×</w:t>
      </w:r>
      <w:r w:rsidRPr="005B4D1E">
        <w:rPr>
          <w:rFonts w:ascii="宋体" w:eastAsia="宋体" w:hAnsi="宋体" w:hint="eastAsia"/>
          <w:sz w:val="21"/>
          <w:szCs w:val="21"/>
        </w:rPr>
        <w:t>杜拉克二元杂小猪来自4窝仔猪，未经猪蓝耳病、猪口蹄疫、猪瘟疫苗免疫。经前腔静脉采血，分离血清，应用RT-PC</w:t>
      </w:r>
      <w:r w:rsidRPr="005B4D1E">
        <w:rPr>
          <w:rFonts w:ascii="宋体" w:eastAsia="宋体" w:hAnsi="宋体" w:hint="eastAsia"/>
          <w:sz w:val="21"/>
          <w:szCs w:val="21"/>
        </w:rPr>
        <w:lastRenderedPageBreak/>
        <w:t>R检测PRRSV、FMDV、CSFV为阴性，应用ELISA检测PRRSV抗体为阴性，应用间接血凝试验检测FMDV、CSFV抗体证明所有试验猪均带有母源抗体。</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将38头试验猪随机分成4组：对照组（8头）、试验1组（10头）、试验2组（10头）、试验3组（10头）。对照组：使用口蹄疫O型灭活疫苗（OMYA98/BY/2010株，中农威特生物科技股份有限公司，批号H120539J）和政府采购专用细胞源猪瘟疫苗（南宁天邦生物科技有限公司，批号129107）同时分点免疫注射，简称“两针两苗组”，每头注射1mL(头份)。试验1组：将政府采购专用细胞源猪瘟疫苗和高致病性猪蓝耳病弱毒疫苗（TJM-F92株，山西隆克尔生物股份有限公司，批号3212012）释稀后混合在一起作为一针，口蹄疫O型灭活疫苗（OMYA98/BY/2010株）作为一针，简称“两针三苗组”，免疫剂量为1mL(头份)／头。试验2组：使用口蹄疫O型灭活疫苗（OMYA98/BY/2010株）、政府采购专用细胞源猪瘟疫苗和高致病性猪蓝耳病弱毒疫苗（TJM-F92株）同时分点免疫注射，简称“三针三苗（同）组”，每头注射1mL(头份)。试验3组：先用口蹄疫O型灭活疫苗（OMYA981BY12010株）和政府采购专用细胞源猪瘟疫苗同时分点免疫注射，间隔14天后，再用高致病性蓝耳病弱毒疫苗（TJM-F92株）免疫一次，简称“三针三苗（间）组”，免疫剂量为1mL(头份)／头。所有猪只在免疫前（第0d）及免疫后的第15d、30d、45d、60d、90d分别经前腔静脉采血，分离血清，并放置于</w:t>
      </w:r>
      <w:smartTag w:uri="urn:schemas-microsoft-com:office:smarttags" w:element="chmetcnv">
        <w:smartTagPr>
          <w:attr w:name="TCSC" w:val="0"/>
          <w:attr w:name="NumberType" w:val="1"/>
          <w:attr w:name="Negative" w:val="True"/>
          <w:attr w:name="HasSpace" w:val="False"/>
          <w:attr w:name="SourceValue" w:val="20"/>
          <w:attr w:name="UnitName" w:val="℃"/>
        </w:smartTagPr>
        <w:r w:rsidRPr="005B4D1E">
          <w:rPr>
            <w:rFonts w:ascii="宋体" w:eastAsia="宋体" w:hAnsi="宋体" w:hint="eastAsia"/>
            <w:sz w:val="21"/>
            <w:szCs w:val="21"/>
          </w:rPr>
          <w:t>-20℃</w:t>
        </w:r>
      </w:smartTag>
      <w:r w:rsidRPr="005B4D1E">
        <w:rPr>
          <w:rFonts w:ascii="宋体" w:eastAsia="宋体" w:hAnsi="宋体" w:hint="eastAsia"/>
          <w:sz w:val="21"/>
          <w:szCs w:val="21"/>
        </w:rPr>
        <w:t>保存备检。</w:t>
      </w:r>
    </w:p>
    <w:p w:rsidR="009D14A5" w:rsidRPr="005B4D1E" w:rsidRDefault="009D14A5" w:rsidP="005B4D1E">
      <w:pPr>
        <w:tabs>
          <w:tab w:val="left" w:pos="6519"/>
        </w:tabs>
        <w:wordWrap w:val="0"/>
        <w:spacing w:line="360" w:lineRule="auto"/>
        <w:ind w:firstLineChars="200" w:firstLine="422"/>
        <w:rPr>
          <w:rFonts w:ascii="宋体" w:eastAsia="宋体" w:hAnsi="宋体"/>
          <w:sz w:val="21"/>
          <w:szCs w:val="21"/>
        </w:rPr>
      </w:pPr>
      <w:r w:rsidRPr="005B4D1E">
        <w:rPr>
          <w:rFonts w:ascii="宋体" w:eastAsia="宋体" w:hAnsi="宋体" w:hint="eastAsia"/>
          <w:b/>
          <w:sz w:val="21"/>
          <w:szCs w:val="21"/>
        </w:rPr>
        <w:t>病原检测：</w:t>
      </w:r>
      <w:r w:rsidRPr="005B4D1E">
        <w:rPr>
          <w:rFonts w:ascii="宋体" w:eastAsia="宋体" w:hAnsi="宋体" w:hint="eastAsia"/>
          <w:sz w:val="21"/>
          <w:szCs w:val="21"/>
        </w:rPr>
        <w:t>取血清，按照MiniBEST Viral RNA/DNA Extraction Kit Ver.4.0试剂盒使用说明抽提病毒总RNA，按RNA PCR Kit (AMV)Ver.3.0试剂盒使用说明进行反转录获得cDNA。以获得的cDNA为模板，应用表36中针对CSFV及PRRSV的引物，扩增相应地基因片段。结果，所有猪只在免疫前、后均未能在血清中检测到CSFV及PRRSV。</w:t>
      </w:r>
    </w:p>
    <w:p w:rsidR="009D14A5" w:rsidRPr="005B4D1E" w:rsidRDefault="009D14A5" w:rsidP="009D14A5">
      <w:pPr>
        <w:tabs>
          <w:tab w:val="left" w:pos="6519"/>
        </w:tabs>
        <w:wordWrap w:val="0"/>
        <w:spacing w:line="360" w:lineRule="auto"/>
        <w:rPr>
          <w:rFonts w:ascii="宋体" w:eastAsia="宋体" w:hAnsi="宋体"/>
          <w:sz w:val="21"/>
          <w:szCs w:val="21"/>
        </w:rPr>
      </w:pPr>
    </w:p>
    <w:p w:rsidR="009D14A5" w:rsidRPr="005B4D1E" w:rsidRDefault="009D14A5" w:rsidP="00B03D18">
      <w:pPr>
        <w:pStyle w:val="a6"/>
        <w:spacing w:before="156"/>
      </w:pPr>
      <w:bookmarkStart w:id="101" w:name="_Toc405816439"/>
      <w:r w:rsidRPr="005B4D1E">
        <w:rPr>
          <w:rFonts w:hint="eastAsia"/>
        </w:rPr>
        <w:t>表</w:t>
      </w:r>
      <w:r w:rsidRPr="005B4D1E">
        <w:rPr>
          <w:rFonts w:hint="eastAsia"/>
        </w:rPr>
        <w:t>36</w:t>
      </w:r>
      <w:r w:rsidR="00B03D18">
        <w:rPr>
          <w:rFonts w:hint="eastAsia"/>
        </w:rPr>
        <w:t xml:space="preserve"> </w:t>
      </w:r>
      <w:r w:rsidRPr="005B4D1E">
        <w:rPr>
          <w:rFonts w:hint="eastAsia"/>
        </w:rPr>
        <w:t>用于扩增</w:t>
      </w:r>
      <w:r w:rsidRPr="005B4D1E">
        <w:rPr>
          <w:rFonts w:hint="eastAsia"/>
        </w:rPr>
        <w:t>CSFV</w:t>
      </w:r>
      <w:r w:rsidRPr="005B4D1E">
        <w:rPr>
          <w:rFonts w:hint="eastAsia"/>
        </w:rPr>
        <w:t>及</w:t>
      </w:r>
      <w:r w:rsidRPr="005B4D1E">
        <w:rPr>
          <w:rFonts w:hint="eastAsia"/>
        </w:rPr>
        <w:t>PRRSV</w:t>
      </w:r>
      <w:r w:rsidRPr="005B4D1E">
        <w:rPr>
          <w:rFonts w:hint="eastAsia"/>
        </w:rPr>
        <w:t>基因片段的引物序列</w:t>
      </w:r>
      <w:bookmarkEnd w:id="101"/>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4615180" cy="1173480"/>
            <wp:effectExtent l="1905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
                    <pic:cNvPicPr>
                      <a:picLocks noChangeAspect="1" noChangeArrowheads="1"/>
                    </pic:cNvPicPr>
                  </pic:nvPicPr>
                  <pic:blipFill>
                    <a:blip r:embed="rId93" cstate="print"/>
                    <a:srcRect/>
                    <a:stretch>
                      <a:fillRect/>
                    </a:stretch>
                  </pic:blipFill>
                  <pic:spPr bwMode="auto">
                    <a:xfrm>
                      <a:off x="0" y="0"/>
                      <a:ext cx="4615180" cy="1173480"/>
                    </a:xfrm>
                    <a:prstGeom prst="rect">
                      <a:avLst/>
                    </a:prstGeom>
                    <a:noFill/>
                    <a:ln w="9525">
                      <a:noFill/>
                      <a:miter lim="800000"/>
                      <a:headEnd/>
                      <a:tailEnd/>
                    </a:ln>
                  </pic:spPr>
                </pic:pic>
              </a:graphicData>
            </a:graphic>
          </wp:inline>
        </w:drawing>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Pr="005B4D1E">
        <w:rPr>
          <w:rFonts w:ascii="宋体" w:eastAsia="宋体" w:hAnsi="宋体" w:hint="eastAsia"/>
          <w:b/>
          <w:sz w:val="21"/>
          <w:szCs w:val="21"/>
        </w:rPr>
        <w:t>抗体检测：</w:t>
      </w:r>
      <w:r w:rsidRPr="005B4D1E">
        <w:rPr>
          <w:rFonts w:ascii="宋体" w:eastAsia="宋体" w:hAnsi="宋体" w:hint="eastAsia"/>
          <w:sz w:val="21"/>
          <w:szCs w:val="21"/>
        </w:rPr>
        <w:t>应用猪繁殖与呼吸综合征ELISA抗体检测试剂盒(LSIVet</w:t>
      </w:r>
      <w:r w:rsidRPr="005B4D1E">
        <w:rPr>
          <w:rFonts w:ascii="宋体" w:eastAsia="宋体" w:hAnsi="宋体" w:hint="eastAsia"/>
          <w:sz w:val="21"/>
          <w:szCs w:val="21"/>
          <w:vertAlign w:val="superscript"/>
        </w:rPr>
        <w:t>TM</w:t>
      </w:r>
      <w:r w:rsidRPr="005B4D1E">
        <w:rPr>
          <w:rFonts w:ascii="宋体" w:eastAsia="宋体" w:hAnsi="宋体" w:hint="eastAsia"/>
          <w:sz w:val="21"/>
          <w:szCs w:val="21"/>
        </w:rPr>
        <w:t xml:space="preserve"> Porcine PRRSV/US-Serum，法国LSI公司生产，批号5-VETPRA-030)，采用ELISA方法检测PRRSV抗体，具体操作按试剂盒说明书要求进行；判断标准：IRPC</w:t>
      </w:r>
      <w:r w:rsidRPr="005B4D1E">
        <w:rPr>
          <w:rFonts w:ascii="宋体" w:eastAsia="宋体" w:hAnsi="宋体" w:cs="Arial"/>
          <w:sz w:val="21"/>
          <w:szCs w:val="21"/>
        </w:rPr>
        <w:t>≤</w:t>
      </w:r>
      <w:r w:rsidRPr="005B4D1E">
        <w:rPr>
          <w:rFonts w:ascii="宋体" w:eastAsia="宋体" w:hAnsi="宋体" w:hint="eastAsia"/>
          <w:sz w:val="21"/>
          <w:szCs w:val="21"/>
        </w:rPr>
        <w:t>20，判定被检血清PRRSV抗体不合格，IRPC&gt;20，则判定被检血清PRRSV抗体合格。CSFV抗体、FMDV抗体检测均采用正向间接血凝试验（CSFV抗体正向间接血凝诊断抗原购自兰州兽医研究所，批号20121016；猪O型FMDV</w:t>
      </w:r>
      <w:r w:rsidRPr="005B4D1E">
        <w:rPr>
          <w:rFonts w:ascii="宋体" w:eastAsia="宋体" w:hAnsi="宋体" w:hint="eastAsia"/>
          <w:sz w:val="21"/>
          <w:szCs w:val="21"/>
        </w:rPr>
        <w:lastRenderedPageBreak/>
        <w:t>抗体正向间接血凝诊断抗原购自兰州兽医研究所，批号20121014），检测方法按操作说明进行；判断标准：抗体效价</w:t>
      </w:r>
      <w:r w:rsidRPr="005B4D1E">
        <w:rPr>
          <w:rFonts w:ascii="宋体" w:eastAsia="宋体" w:hAnsi="宋体" w:cs="Arial"/>
          <w:sz w:val="21"/>
          <w:szCs w:val="21"/>
        </w:rPr>
        <w:t>≥</w:t>
      </w:r>
      <w:r w:rsidRPr="005B4D1E">
        <w:rPr>
          <w:rFonts w:ascii="宋体" w:eastAsia="宋体" w:hAnsi="宋体" w:hint="eastAsia"/>
          <w:sz w:val="21"/>
          <w:szCs w:val="21"/>
        </w:rPr>
        <w:t>1:32，判定被检血清抗体合格，抗体效价</w:t>
      </w:r>
      <w:r w:rsidRPr="005B4D1E">
        <w:rPr>
          <w:rFonts w:ascii="宋体" w:eastAsia="宋体" w:hAnsi="宋体" w:cs="Arial"/>
          <w:sz w:val="21"/>
          <w:szCs w:val="21"/>
        </w:rPr>
        <w:t>≤</w:t>
      </w:r>
      <w:r w:rsidRPr="005B4D1E">
        <w:rPr>
          <w:rFonts w:ascii="宋体" w:eastAsia="宋体" w:hAnsi="宋体" w:hint="eastAsia"/>
          <w:sz w:val="21"/>
          <w:szCs w:val="21"/>
        </w:rPr>
        <w:t>1:32，则判定被检血清抗体不合格。</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各试验组CSFV、FMDV、PRRSV抗体结果见表37。就CSFV抗体而言，对照组、试验3组的CSFV抗体合格率在免疫后15d即达到70%以上，直到免疫后90d仍保持在70%以上；试验1组、试验2组在免疫后30d即达到70%以上，而在免疫后90d已下降到70%以下。</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就FMDV抗体而言，对照组、3个试验组的FMDV抗体合格率在免疫后15d均达到70%以上，而到免疫后90d，只有对照组抗体合格率仍保持在70%以上，3个试验组在免疫后90d已下降到70%以下。</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就PRRSV抗体而言，在疫苗免疫时抗体为阴性，在免疫后15d PRRSV抗体合格率逐步提高，到30d是全部达到70%以上，并且到免疫后90d，各个试验组抗体合格率仍保持在70%以上。</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分析各组的CSFV抗体（表38、图</w:t>
      </w:r>
      <w:smartTag w:uri="urn:schemas-microsoft-com:office:smarttags" w:element="chmetcnv">
        <w:smartTagPr>
          <w:attr w:name="UnitName" w:val="a"/>
          <w:attr w:name="SourceValue" w:val="51"/>
          <w:attr w:name="HasSpace" w:val="False"/>
          <w:attr w:name="Negative" w:val="False"/>
          <w:attr w:name="NumberType" w:val="1"/>
          <w:attr w:name="TCSC" w:val="0"/>
        </w:smartTagPr>
        <w:r w:rsidRPr="005B4D1E">
          <w:rPr>
            <w:rFonts w:ascii="宋体" w:eastAsia="宋体" w:hAnsi="宋体" w:hint="eastAsia"/>
            <w:sz w:val="21"/>
            <w:szCs w:val="21"/>
          </w:rPr>
          <w:t>51A</w:t>
        </w:r>
      </w:smartTag>
      <w:r w:rsidRPr="005B4D1E">
        <w:rPr>
          <w:rFonts w:ascii="宋体" w:eastAsia="宋体" w:hAnsi="宋体" w:hint="eastAsia"/>
          <w:sz w:val="21"/>
          <w:szCs w:val="21"/>
        </w:rPr>
        <w:t>）发现，没有进行猪蓝耳病疫苗免疫的对照组，在免疫猪瘟疫苗后抗体迅速提高，在15d时已达到75%，并且持续较长时间，到90d时仍保持在85.7%。而免疫了猪蓝耳病疫苗的3个试验组，只有试验3组在免疫猪瘟疫苗后抗体迅速提高，在15d时已达到70%，并且持续较长时间，到90d时仍保持在90%；试验2组、3组在免疫猪瘟疫苗后抗体在15d时未达到70%，在90d时已下降到70%一下。表明试验3组的免疫方法优于试验1组、试验2组，也提示猪蓝耳病疫苗可能会影响与其同时免疫的猪瘟疫苗的效果。</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分析各组的FMDV抗体（表39、图51B）发现，没有进行猪蓝耳病疫苗免疫的对照组，在免疫猪口蹄疫疫苗后抗体迅速提高，在15d时已达到87.5%，并且持续较长时问，到90d时仍保持在71.4%。而免疫了猪蓝耳病疫苗的3个试验组，在15d时均达到70%以上，但到90d时已下降到70%以下，其中试验3组的合格率稍高于试验1组、2组。表明试验3组的免疫方法优于试验1组、试验2组，也提示猪蓝耳病疫苗可能会影响与其同时免疫的猪口蹄疫疫苗的效果。</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分析各组的PRRSV抗体（图</w:t>
      </w:r>
      <w:smartTag w:uri="urn:schemas-microsoft-com:office:smarttags" w:element="chmetcnv">
        <w:smartTagPr>
          <w:attr w:name="TCSC" w:val="0"/>
          <w:attr w:name="NumberType" w:val="1"/>
          <w:attr w:name="Negative" w:val="False"/>
          <w:attr w:name="HasSpace" w:val="False"/>
          <w:attr w:name="SourceValue" w:val="51"/>
          <w:attr w:name="UnitName" w:val="C"/>
        </w:smartTagPr>
        <w:r w:rsidRPr="005B4D1E">
          <w:rPr>
            <w:rFonts w:ascii="宋体" w:eastAsia="宋体" w:hAnsi="宋体" w:hint="eastAsia"/>
            <w:sz w:val="21"/>
            <w:szCs w:val="21"/>
          </w:rPr>
          <w:t>51C</w:t>
        </w:r>
      </w:smartTag>
      <w:r w:rsidRPr="005B4D1E">
        <w:rPr>
          <w:rFonts w:ascii="宋体" w:eastAsia="宋体" w:hAnsi="宋体" w:hint="eastAsia"/>
          <w:sz w:val="21"/>
          <w:szCs w:val="21"/>
        </w:rPr>
        <w:t>）发现，试验1组、2组、3组在进行猪蓝耳病疫苗免疫后15d抗体合格率均未能达到70%，但在30d抗体合格率均达到70%以上，并且持续较长时间，到90d时仍保持在80%以上，其中试验3组的合格率稍高于试验1组、2组。表明试验3组的免疫方法优于试验1组、试验2组。</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进一步分析3种疫苗之间的相互影响（图52）发现，3个试验组中只有FMDV抗体在免疫后15d合格率均达到70%以上，CSFV抗体只有试验3组在免疫后15d合格率能够达到70%；</w:t>
      </w:r>
      <w:r w:rsidRPr="005B4D1E">
        <w:rPr>
          <w:rFonts w:ascii="宋体" w:eastAsia="宋体" w:hAnsi="宋体" w:hint="eastAsia"/>
          <w:sz w:val="21"/>
          <w:szCs w:val="21"/>
        </w:rPr>
        <w:lastRenderedPageBreak/>
        <w:t>到90d时，只有PRRSV抗体在3个试验组仍保持在80%以上，CSFV抗体只有试验3组保持在90%。表明试验3组的免疫方法优于试验1组、试验2组。</w:t>
      </w:r>
    </w:p>
    <w:p w:rsidR="009D14A5" w:rsidRPr="005B4D1E" w:rsidRDefault="009D14A5" w:rsidP="005B4D1E">
      <w:pPr>
        <w:tabs>
          <w:tab w:val="left" w:pos="6519"/>
        </w:tabs>
        <w:wordWrap w:val="0"/>
        <w:spacing w:line="360" w:lineRule="auto"/>
        <w:ind w:firstLineChars="200" w:firstLine="420"/>
        <w:rPr>
          <w:rFonts w:ascii="宋体" w:eastAsia="宋体" w:hAnsi="宋体"/>
          <w:sz w:val="21"/>
          <w:szCs w:val="21"/>
        </w:rPr>
      </w:pPr>
      <w:r w:rsidRPr="005B4D1E">
        <w:rPr>
          <w:rFonts w:ascii="宋体" w:eastAsia="宋体" w:hAnsi="宋体" w:hint="eastAsia"/>
          <w:sz w:val="21"/>
          <w:szCs w:val="21"/>
        </w:rPr>
        <w:t>综上所述，试验3组的免疫方法优于试验1组、试验2组。在临床上，先用口蹄疫O型灭活疫苗和细胞源猪瘟疫苗同时分点免疫注射，间隔14天后，再用HP-PRRS弱毒疫苗免疫，蓝耳病疫苗的免疫效果最佳，免疫后90d仍保持合格率达到100%。</w:t>
      </w:r>
    </w:p>
    <w:p w:rsidR="009D14A5" w:rsidRPr="005B4D1E" w:rsidRDefault="009D14A5" w:rsidP="00B03D18">
      <w:pPr>
        <w:pStyle w:val="a6"/>
        <w:spacing w:before="156"/>
      </w:pPr>
      <w:bookmarkStart w:id="102" w:name="_Toc405816440"/>
      <w:r w:rsidRPr="005B4D1E">
        <w:rPr>
          <w:rFonts w:hint="eastAsia"/>
        </w:rPr>
        <w:t>表</w:t>
      </w:r>
      <w:r w:rsidR="00B03D18">
        <w:rPr>
          <w:rFonts w:hint="eastAsia"/>
        </w:rPr>
        <w:t xml:space="preserve">37 </w:t>
      </w:r>
      <w:r w:rsidRPr="005B4D1E">
        <w:rPr>
          <w:rFonts w:hint="eastAsia"/>
        </w:rPr>
        <w:t>各试验组免疫后抗体及病原检测结果</w:t>
      </w:r>
      <w:bookmarkEnd w:id="102"/>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4770120" cy="3873500"/>
            <wp:effectExtent l="1905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pic:cNvPicPr>
                      <a:picLocks noChangeAspect="1" noChangeArrowheads="1"/>
                    </pic:cNvPicPr>
                  </pic:nvPicPr>
                  <pic:blipFill>
                    <a:blip r:embed="rId94" cstate="print"/>
                    <a:srcRect/>
                    <a:stretch>
                      <a:fillRect/>
                    </a:stretch>
                  </pic:blipFill>
                  <pic:spPr bwMode="auto">
                    <a:xfrm>
                      <a:off x="0" y="0"/>
                      <a:ext cx="4770120" cy="3873500"/>
                    </a:xfrm>
                    <a:prstGeom prst="rect">
                      <a:avLst/>
                    </a:prstGeom>
                    <a:noFill/>
                    <a:ln w="9525">
                      <a:noFill/>
                      <a:miter lim="800000"/>
                      <a:headEnd/>
                      <a:tailEnd/>
                    </a:ln>
                  </pic:spPr>
                </pic:pic>
              </a:graphicData>
            </a:graphic>
          </wp:inline>
        </w:drawing>
      </w:r>
    </w:p>
    <w:p w:rsidR="009D14A5" w:rsidRDefault="009D14A5" w:rsidP="009D14A5">
      <w:pPr>
        <w:tabs>
          <w:tab w:val="left" w:pos="6519"/>
        </w:tabs>
        <w:wordWrap w:val="0"/>
        <w:spacing w:line="360" w:lineRule="auto"/>
        <w:rPr>
          <w:rFonts w:ascii="宋体" w:eastAsia="宋体" w:hAnsi="宋体"/>
          <w:sz w:val="21"/>
          <w:szCs w:val="21"/>
        </w:rPr>
      </w:pPr>
    </w:p>
    <w:p w:rsidR="00B03D18" w:rsidRDefault="00B03D18" w:rsidP="009D14A5">
      <w:pPr>
        <w:tabs>
          <w:tab w:val="left" w:pos="6519"/>
        </w:tabs>
        <w:wordWrap w:val="0"/>
        <w:spacing w:line="360" w:lineRule="auto"/>
        <w:rPr>
          <w:rFonts w:ascii="宋体" w:eastAsia="宋体" w:hAnsi="宋体"/>
          <w:sz w:val="21"/>
          <w:szCs w:val="21"/>
        </w:rPr>
      </w:pPr>
    </w:p>
    <w:p w:rsidR="00B03D18" w:rsidRDefault="00B03D18" w:rsidP="009D14A5">
      <w:pPr>
        <w:tabs>
          <w:tab w:val="left" w:pos="6519"/>
        </w:tabs>
        <w:wordWrap w:val="0"/>
        <w:spacing w:line="360" w:lineRule="auto"/>
        <w:rPr>
          <w:rFonts w:ascii="宋体" w:eastAsia="宋体" w:hAnsi="宋体"/>
          <w:sz w:val="21"/>
          <w:szCs w:val="21"/>
        </w:rPr>
      </w:pPr>
    </w:p>
    <w:p w:rsidR="00B03D18" w:rsidRDefault="00B03D18" w:rsidP="009D14A5">
      <w:pPr>
        <w:tabs>
          <w:tab w:val="left" w:pos="6519"/>
        </w:tabs>
        <w:wordWrap w:val="0"/>
        <w:spacing w:line="360" w:lineRule="auto"/>
        <w:rPr>
          <w:rFonts w:ascii="宋体" w:eastAsia="宋体" w:hAnsi="宋体"/>
          <w:sz w:val="21"/>
          <w:szCs w:val="21"/>
        </w:rPr>
      </w:pPr>
    </w:p>
    <w:p w:rsidR="00B03D18" w:rsidRDefault="00B03D18" w:rsidP="009D14A5">
      <w:pPr>
        <w:tabs>
          <w:tab w:val="left" w:pos="6519"/>
        </w:tabs>
        <w:wordWrap w:val="0"/>
        <w:spacing w:line="360" w:lineRule="auto"/>
        <w:rPr>
          <w:rFonts w:ascii="宋体" w:eastAsia="宋体" w:hAnsi="宋体"/>
          <w:sz w:val="21"/>
          <w:szCs w:val="21"/>
        </w:rPr>
      </w:pPr>
    </w:p>
    <w:p w:rsidR="00B03D18" w:rsidRDefault="00B03D18" w:rsidP="009D14A5">
      <w:pPr>
        <w:tabs>
          <w:tab w:val="left" w:pos="6519"/>
        </w:tabs>
        <w:wordWrap w:val="0"/>
        <w:spacing w:line="360" w:lineRule="auto"/>
        <w:rPr>
          <w:rFonts w:ascii="宋体" w:eastAsia="宋体" w:hAnsi="宋体"/>
          <w:sz w:val="21"/>
          <w:szCs w:val="21"/>
        </w:rPr>
      </w:pPr>
    </w:p>
    <w:p w:rsidR="00B03D18" w:rsidRDefault="00B03D18" w:rsidP="009D14A5">
      <w:pPr>
        <w:tabs>
          <w:tab w:val="left" w:pos="6519"/>
        </w:tabs>
        <w:wordWrap w:val="0"/>
        <w:spacing w:line="360" w:lineRule="auto"/>
        <w:rPr>
          <w:rFonts w:ascii="宋体" w:eastAsia="宋体" w:hAnsi="宋体"/>
          <w:sz w:val="21"/>
          <w:szCs w:val="21"/>
        </w:rPr>
      </w:pPr>
    </w:p>
    <w:p w:rsidR="00B03D18" w:rsidRPr="005B4D1E" w:rsidRDefault="00B03D18" w:rsidP="009D14A5">
      <w:pPr>
        <w:tabs>
          <w:tab w:val="left" w:pos="6519"/>
        </w:tabs>
        <w:wordWrap w:val="0"/>
        <w:spacing w:line="360" w:lineRule="auto"/>
        <w:rPr>
          <w:rFonts w:ascii="宋体" w:eastAsia="宋体" w:hAnsi="宋体"/>
          <w:sz w:val="21"/>
          <w:szCs w:val="21"/>
        </w:rPr>
      </w:pPr>
    </w:p>
    <w:p w:rsidR="009D14A5" w:rsidRPr="005B4D1E" w:rsidRDefault="009D14A5" w:rsidP="00B03D18">
      <w:pPr>
        <w:pStyle w:val="a6"/>
        <w:spacing w:before="156"/>
      </w:pPr>
      <w:bookmarkStart w:id="103" w:name="_Toc405816441"/>
      <w:r w:rsidRPr="005B4D1E">
        <w:rPr>
          <w:rFonts w:hint="eastAsia"/>
        </w:rPr>
        <w:lastRenderedPageBreak/>
        <w:t>表</w:t>
      </w:r>
      <w:r w:rsidR="00B03D18">
        <w:rPr>
          <w:rFonts w:hint="eastAsia"/>
        </w:rPr>
        <w:t xml:space="preserve">38 </w:t>
      </w:r>
      <w:r w:rsidRPr="005B4D1E">
        <w:rPr>
          <w:rFonts w:hint="eastAsia"/>
        </w:rPr>
        <w:t>各试验组免疫后</w:t>
      </w:r>
      <w:r w:rsidRPr="005B4D1E">
        <w:rPr>
          <w:rFonts w:hint="eastAsia"/>
        </w:rPr>
        <w:t>CSFV</w:t>
      </w:r>
      <w:r w:rsidRPr="005B4D1E">
        <w:rPr>
          <w:rFonts w:hint="eastAsia"/>
        </w:rPr>
        <w:t>抗体检测结果</w:t>
      </w:r>
      <w:bookmarkEnd w:id="103"/>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4925695" cy="3545205"/>
            <wp:effectExtent l="19050" t="0" r="8255"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95" cstate="print"/>
                    <a:srcRect/>
                    <a:stretch>
                      <a:fillRect/>
                    </a:stretch>
                  </pic:blipFill>
                  <pic:spPr bwMode="auto">
                    <a:xfrm>
                      <a:off x="0" y="0"/>
                      <a:ext cx="4925695" cy="3545205"/>
                    </a:xfrm>
                    <a:prstGeom prst="rect">
                      <a:avLst/>
                    </a:prstGeom>
                    <a:noFill/>
                    <a:ln w="9525">
                      <a:noFill/>
                      <a:miter lim="800000"/>
                      <a:headEnd/>
                      <a:tailEnd/>
                    </a:ln>
                  </pic:spPr>
                </pic:pic>
              </a:graphicData>
            </a:graphic>
          </wp:inline>
        </w:drawing>
      </w:r>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2846705" cy="3752215"/>
            <wp:effectExtent l="1905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pic:cNvPicPr>
                      <a:picLocks noChangeAspect="1" noChangeArrowheads="1"/>
                    </pic:cNvPicPr>
                  </pic:nvPicPr>
                  <pic:blipFill>
                    <a:blip r:embed="rId96" cstate="print"/>
                    <a:srcRect/>
                    <a:stretch>
                      <a:fillRect/>
                    </a:stretch>
                  </pic:blipFill>
                  <pic:spPr bwMode="auto">
                    <a:xfrm>
                      <a:off x="0" y="0"/>
                      <a:ext cx="2846705" cy="3752215"/>
                    </a:xfrm>
                    <a:prstGeom prst="rect">
                      <a:avLst/>
                    </a:prstGeom>
                    <a:noFill/>
                    <a:ln w="9525">
                      <a:noFill/>
                      <a:miter lim="800000"/>
                      <a:headEnd/>
                      <a:tailEnd/>
                    </a:ln>
                  </pic:spPr>
                </pic:pic>
              </a:graphicData>
            </a:graphic>
          </wp:inline>
        </w:drawing>
      </w:r>
    </w:p>
    <w:p w:rsidR="009D14A5" w:rsidRPr="005B4D1E" w:rsidRDefault="009D14A5" w:rsidP="00B03D18">
      <w:pPr>
        <w:pStyle w:val="a5"/>
        <w:spacing w:after="156"/>
      </w:pPr>
      <w:bookmarkStart w:id="104" w:name="_Toc405816355"/>
      <w:r w:rsidRPr="005B4D1E">
        <w:rPr>
          <w:rFonts w:hint="eastAsia"/>
        </w:rPr>
        <w:t>图</w:t>
      </w:r>
      <w:r w:rsidR="00B03D18">
        <w:rPr>
          <w:rFonts w:hint="eastAsia"/>
        </w:rPr>
        <w:t xml:space="preserve">51 </w:t>
      </w:r>
      <w:r w:rsidRPr="005B4D1E">
        <w:rPr>
          <w:rFonts w:hint="eastAsia"/>
        </w:rPr>
        <w:t>各试验组免疫后</w:t>
      </w:r>
      <w:r w:rsidRPr="005B4D1E">
        <w:rPr>
          <w:rFonts w:hint="eastAsia"/>
        </w:rPr>
        <w:t>CSFV</w:t>
      </w:r>
      <w:r w:rsidRPr="005B4D1E">
        <w:rPr>
          <w:rFonts w:hint="eastAsia"/>
        </w:rPr>
        <w:t>抗体</w:t>
      </w:r>
      <w:r w:rsidRPr="005B4D1E">
        <w:rPr>
          <w:rFonts w:hint="eastAsia"/>
        </w:rPr>
        <w:t>(A)</w:t>
      </w:r>
      <w:r w:rsidRPr="005B4D1E">
        <w:rPr>
          <w:rFonts w:hint="eastAsia"/>
        </w:rPr>
        <w:t>、</w:t>
      </w:r>
      <w:r w:rsidRPr="005B4D1E">
        <w:rPr>
          <w:rFonts w:hint="eastAsia"/>
        </w:rPr>
        <w:t>FMDV</w:t>
      </w:r>
      <w:r w:rsidRPr="005B4D1E">
        <w:rPr>
          <w:rFonts w:hint="eastAsia"/>
        </w:rPr>
        <w:t>抗体</w:t>
      </w:r>
      <w:r w:rsidRPr="005B4D1E">
        <w:rPr>
          <w:rFonts w:hint="eastAsia"/>
        </w:rPr>
        <w:t>(B)</w:t>
      </w:r>
      <w:r w:rsidRPr="005B4D1E">
        <w:rPr>
          <w:rFonts w:hint="eastAsia"/>
        </w:rPr>
        <w:t>及</w:t>
      </w:r>
      <w:r w:rsidRPr="005B4D1E">
        <w:rPr>
          <w:rFonts w:hint="eastAsia"/>
        </w:rPr>
        <w:t>PRRSV</w:t>
      </w:r>
      <w:r w:rsidRPr="005B4D1E">
        <w:rPr>
          <w:rFonts w:hint="eastAsia"/>
        </w:rPr>
        <w:t>抗体</w:t>
      </w:r>
      <w:r w:rsidRPr="005B4D1E">
        <w:rPr>
          <w:rFonts w:hint="eastAsia"/>
        </w:rPr>
        <w:t>(C)</w:t>
      </w:r>
      <w:r w:rsidRPr="005B4D1E">
        <w:rPr>
          <w:rFonts w:hint="eastAsia"/>
        </w:rPr>
        <w:t>检测结果</w:t>
      </w:r>
      <w:bookmarkEnd w:id="104"/>
    </w:p>
    <w:p w:rsidR="009D14A5" w:rsidRDefault="009D14A5" w:rsidP="009D14A5">
      <w:pPr>
        <w:tabs>
          <w:tab w:val="left" w:pos="6519"/>
        </w:tabs>
        <w:wordWrap w:val="0"/>
        <w:spacing w:line="360" w:lineRule="auto"/>
        <w:rPr>
          <w:rFonts w:ascii="宋体" w:eastAsia="宋体" w:hAnsi="宋体"/>
          <w:b/>
          <w:bCs/>
          <w:sz w:val="21"/>
          <w:szCs w:val="21"/>
        </w:rPr>
      </w:pPr>
    </w:p>
    <w:p w:rsidR="00B03D18" w:rsidRPr="005B4D1E" w:rsidRDefault="00B03D18" w:rsidP="009D14A5">
      <w:pPr>
        <w:tabs>
          <w:tab w:val="left" w:pos="6519"/>
        </w:tabs>
        <w:wordWrap w:val="0"/>
        <w:spacing w:line="360" w:lineRule="auto"/>
        <w:rPr>
          <w:rFonts w:ascii="宋体" w:eastAsia="宋体" w:hAnsi="宋体"/>
          <w:b/>
          <w:bCs/>
          <w:sz w:val="21"/>
          <w:szCs w:val="21"/>
        </w:rPr>
      </w:pPr>
    </w:p>
    <w:p w:rsidR="009D14A5" w:rsidRPr="005B4D1E" w:rsidRDefault="009D14A5" w:rsidP="00B03D18">
      <w:pPr>
        <w:pStyle w:val="a6"/>
        <w:spacing w:before="156"/>
      </w:pPr>
      <w:bookmarkStart w:id="105" w:name="_Toc405816442"/>
      <w:r w:rsidRPr="005B4D1E">
        <w:rPr>
          <w:rFonts w:hint="eastAsia"/>
        </w:rPr>
        <w:lastRenderedPageBreak/>
        <w:t>表</w:t>
      </w:r>
      <w:r w:rsidR="00B03D18">
        <w:rPr>
          <w:rFonts w:hint="eastAsia"/>
        </w:rPr>
        <w:t xml:space="preserve">39 </w:t>
      </w:r>
      <w:r w:rsidRPr="005B4D1E">
        <w:rPr>
          <w:rFonts w:hint="eastAsia"/>
        </w:rPr>
        <w:t>各试验组免疫后</w:t>
      </w:r>
      <w:r w:rsidRPr="005B4D1E">
        <w:rPr>
          <w:rFonts w:hint="eastAsia"/>
        </w:rPr>
        <w:t>FMDV</w:t>
      </w:r>
      <w:r w:rsidRPr="005B4D1E">
        <w:rPr>
          <w:rFonts w:hint="eastAsia"/>
        </w:rPr>
        <w:t>抗体检测结果</w:t>
      </w:r>
      <w:bookmarkEnd w:id="105"/>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4977130" cy="3510915"/>
            <wp:effectExtent l="1905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97" cstate="print"/>
                    <a:srcRect/>
                    <a:stretch>
                      <a:fillRect/>
                    </a:stretch>
                  </pic:blipFill>
                  <pic:spPr bwMode="auto">
                    <a:xfrm>
                      <a:off x="0" y="0"/>
                      <a:ext cx="4977130" cy="3510915"/>
                    </a:xfrm>
                    <a:prstGeom prst="rect">
                      <a:avLst/>
                    </a:prstGeom>
                    <a:noFill/>
                    <a:ln w="9525">
                      <a:noFill/>
                      <a:miter lim="800000"/>
                      <a:headEnd/>
                      <a:tailEnd/>
                    </a:ln>
                  </pic:spPr>
                </pic:pic>
              </a:graphicData>
            </a:graphic>
          </wp:inline>
        </w:drawing>
      </w:r>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2760345" cy="3795395"/>
            <wp:effectExtent l="19050" t="0" r="190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
                    <pic:cNvPicPr>
                      <a:picLocks noChangeAspect="1" noChangeArrowheads="1"/>
                    </pic:cNvPicPr>
                  </pic:nvPicPr>
                  <pic:blipFill>
                    <a:blip r:embed="rId98" cstate="print"/>
                    <a:srcRect/>
                    <a:stretch>
                      <a:fillRect/>
                    </a:stretch>
                  </pic:blipFill>
                  <pic:spPr bwMode="auto">
                    <a:xfrm>
                      <a:off x="0" y="0"/>
                      <a:ext cx="2760345" cy="3795395"/>
                    </a:xfrm>
                    <a:prstGeom prst="rect">
                      <a:avLst/>
                    </a:prstGeom>
                    <a:noFill/>
                    <a:ln w="9525">
                      <a:noFill/>
                      <a:miter lim="800000"/>
                      <a:headEnd/>
                      <a:tailEnd/>
                    </a:ln>
                  </pic:spPr>
                </pic:pic>
              </a:graphicData>
            </a:graphic>
          </wp:inline>
        </w:drawing>
      </w:r>
    </w:p>
    <w:p w:rsidR="009D14A5" w:rsidRPr="005B4D1E" w:rsidRDefault="009D14A5" w:rsidP="00B03D18">
      <w:pPr>
        <w:pStyle w:val="a5"/>
        <w:spacing w:after="156"/>
      </w:pPr>
      <w:bookmarkStart w:id="106" w:name="_Toc405816356"/>
      <w:r w:rsidRPr="005B4D1E">
        <w:rPr>
          <w:rFonts w:hint="eastAsia"/>
        </w:rPr>
        <w:t>图</w:t>
      </w:r>
      <w:r w:rsidR="00B03D18">
        <w:rPr>
          <w:rFonts w:hint="eastAsia"/>
        </w:rPr>
        <w:t xml:space="preserve">52 </w:t>
      </w:r>
      <w:r w:rsidRPr="005B4D1E">
        <w:rPr>
          <w:rFonts w:hint="eastAsia"/>
        </w:rPr>
        <w:t>试验</w:t>
      </w:r>
      <w:r w:rsidRPr="005B4D1E">
        <w:rPr>
          <w:rFonts w:hint="eastAsia"/>
        </w:rPr>
        <w:t>1</w:t>
      </w:r>
      <w:r w:rsidRPr="005B4D1E">
        <w:rPr>
          <w:rFonts w:hint="eastAsia"/>
        </w:rPr>
        <w:t>组</w:t>
      </w:r>
      <w:r w:rsidRPr="005B4D1E">
        <w:rPr>
          <w:rFonts w:hint="eastAsia"/>
        </w:rPr>
        <w:t>(A)</w:t>
      </w:r>
      <w:r w:rsidRPr="005B4D1E">
        <w:rPr>
          <w:rFonts w:hint="eastAsia"/>
        </w:rPr>
        <w:t>、</w:t>
      </w:r>
      <w:r w:rsidRPr="005B4D1E">
        <w:rPr>
          <w:rFonts w:hint="eastAsia"/>
        </w:rPr>
        <w:t>2</w:t>
      </w:r>
      <w:r w:rsidRPr="005B4D1E">
        <w:rPr>
          <w:rFonts w:hint="eastAsia"/>
        </w:rPr>
        <w:t>组</w:t>
      </w:r>
      <w:r w:rsidRPr="005B4D1E">
        <w:rPr>
          <w:rFonts w:hint="eastAsia"/>
        </w:rPr>
        <w:t>(B)</w:t>
      </w:r>
      <w:r w:rsidRPr="005B4D1E">
        <w:rPr>
          <w:rFonts w:hint="eastAsia"/>
        </w:rPr>
        <w:t>及</w:t>
      </w:r>
      <w:r w:rsidRPr="005B4D1E">
        <w:rPr>
          <w:rFonts w:hint="eastAsia"/>
        </w:rPr>
        <w:t>3</w:t>
      </w:r>
      <w:r w:rsidRPr="005B4D1E">
        <w:rPr>
          <w:rFonts w:hint="eastAsia"/>
        </w:rPr>
        <w:t>组</w:t>
      </w:r>
      <w:r w:rsidRPr="005B4D1E">
        <w:rPr>
          <w:rFonts w:hint="eastAsia"/>
        </w:rPr>
        <w:t>(C)</w:t>
      </w:r>
      <w:r w:rsidRPr="005B4D1E">
        <w:rPr>
          <w:rFonts w:hint="eastAsia"/>
        </w:rPr>
        <w:t>免疫后抗体检测结果</w:t>
      </w:r>
      <w:bookmarkEnd w:id="106"/>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小结：高致病性猪蓝耳病、猪瘟、猪口蹄疫是国家规定强制免疫病种，按照当前免疫程序，要完成免疫这三个病种，每头猪至少在不同的时间进行两次以上免疫注射，使基层动物</w:t>
      </w:r>
      <w:r w:rsidRPr="005B4D1E">
        <w:rPr>
          <w:rFonts w:ascii="宋体" w:eastAsia="宋体" w:hAnsi="宋体" w:hint="eastAsia"/>
          <w:sz w:val="21"/>
          <w:szCs w:val="21"/>
        </w:rPr>
        <w:lastRenderedPageBreak/>
        <w:t>防疫人员防疫工作难度增大。为此，我们选择38头36-38日龄未免疫健康仔猪，针对猪蓝耳病弱毒疫苗、猪瘟弱毒疫苗及口蹄疫灭活苗，按照4种不同的免疫程序进行免疫。于免疫前(0d)及免疫后15d、30d、45d、60d、90d采集血清进行PRRSV、CSFV、FMDV抗体的检测。结果，先同时分点免疫注射猪瘟疫苗和口蹄疫疫苗14d后，再免疫猪蓝耳病疫苗，三种疫苗的免疫效果最佳；而将猪瘟疫苗和猪蓝耳病疫苗释稀后混合一起注射，将口蹄疫疫苗同时分点注射，三种疫苗的免疫效果也比较好。上述两种免疫程度均适合在农村散养户乃至规模猪场中推广应用。</w:t>
      </w:r>
    </w:p>
    <w:p w:rsidR="009D14A5" w:rsidRPr="005B4D1E" w:rsidRDefault="009D14A5" w:rsidP="00206742">
      <w:pPr>
        <w:pStyle w:val="1"/>
      </w:pPr>
      <w:bookmarkStart w:id="107" w:name="_Toc405816283"/>
      <w:r w:rsidRPr="005B4D1E">
        <w:rPr>
          <w:rFonts w:hint="eastAsia"/>
        </w:rPr>
        <w:t>HP-PRRS</w:t>
      </w:r>
      <w:r w:rsidRPr="005B4D1E">
        <w:rPr>
          <w:rFonts w:hint="eastAsia"/>
        </w:rPr>
        <w:t>防控与效果评估</w:t>
      </w:r>
      <w:bookmarkEnd w:id="107"/>
    </w:p>
    <w:p w:rsidR="009D14A5" w:rsidRPr="005B4D1E" w:rsidRDefault="009D14A5" w:rsidP="00206742">
      <w:pPr>
        <w:pStyle w:val="2"/>
      </w:pPr>
      <w:bookmarkStart w:id="108" w:name="_Toc405816284"/>
      <w:r w:rsidRPr="005B4D1E">
        <w:rPr>
          <w:rFonts w:hint="eastAsia"/>
        </w:rPr>
        <w:t>HP-PRRS</w:t>
      </w:r>
      <w:r w:rsidRPr="005B4D1E">
        <w:rPr>
          <w:rFonts w:hint="eastAsia"/>
        </w:rPr>
        <w:t>综合防控措施</w:t>
      </w:r>
      <w:r w:rsidR="00206742">
        <w:rPr>
          <w:rFonts w:hint="eastAsia"/>
        </w:rPr>
        <w:t>的</w:t>
      </w:r>
      <w:r w:rsidR="00206742" w:rsidRPr="005B4D1E">
        <w:rPr>
          <w:rFonts w:hint="eastAsia"/>
        </w:rPr>
        <w:t>制定和实施</w:t>
      </w:r>
      <w:bookmarkEnd w:id="108"/>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从倡导科学养殖入手，改善饲养环境，加强HP-PRRS综合防控，采用合理的免疫程序。主要做好如下几点：一是加强饲养管理。养猪采用“全进全出”的养殖模式，夏天做好猪舍通风和防暑降温，冬天做好猪舍保暖和通风换气。提供充足的清洁饮水，保持猪舍干燥，保持合理的饲养密度，降低应急因素。保证充足的营养，增强猪群抗病能力。规模化养殖场坚持自繁自养，必须实行封闭管理，闲杂人员不得进出。农村散养户提倡规模化饲养，不随意串户。二是科学免疫。免疫是预防各种疫病的有效手段，特别是需要免疫的疫苗种类很多，规模猪场一定要制定合理的免疫程序，适时做好HP-PRRS的免疫。同时，加强对口蹄疫、猪瘟、猪伪狂犬病、猪乙脑、猪肺疫、猪丹毒、大肠杆菌病、仔猪副伤寒等疫病的免疫接种，在免疫过程中，要使用农业部批准生产或使用的疫苗，还要规范免疫操作。农村散养户要积极配合各级兽医人员，做好各种疫苗的免疫注射。三是药物预防。选择适当的预防用抗菌类药物，并制定合理的用药方案，预防猪群的的细菌性感染，提高健康水平。四是严格消毒。注重生物安全措施，进出车辆、人员严格消毒。搞好环境卫生，及时清除猪舍粪便及排泄物，对各种污染物品进行无害化处理。对饲养场、猪舍内及周边环境增加消毒次数。五是规范引种和补栏。引进种猪和仔猪时，要选择从没有发生疫情的地方引进，并按规定进行检疫，防止因引猪传入疫病。购买前要查看检疫证明，购买后一定要隔离饲养两周以上，体温正常再混群饲养。六是报告疫情。发现病猪后，要立即对病猪进行隔离，并立即报告当地畜牧兽医部门，要在当地兽医的指导下按有关规定处理。七是不宰、不食病死猪。按照《动物防疫法》和国家有关规定，严禁贩卖病、死猪，也不能屠宰病死猪自食，坚决做到对病死猪不流通、不宰杀、不食用。</w:t>
      </w:r>
    </w:p>
    <w:p w:rsidR="009D14A5" w:rsidRPr="005B4D1E" w:rsidRDefault="009D14A5" w:rsidP="00206742">
      <w:pPr>
        <w:pStyle w:val="2"/>
      </w:pPr>
      <w:bookmarkStart w:id="109" w:name="_Toc405816285"/>
      <w:r w:rsidRPr="005B4D1E">
        <w:rPr>
          <w:rFonts w:hint="eastAsia"/>
        </w:rPr>
        <w:t>猪蓝耳病疫苗种类及毒株</w:t>
      </w:r>
      <w:r w:rsidR="00206742">
        <w:rPr>
          <w:rFonts w:hint="eastAsia"/>
        </w:rPr>
        <w:t>的</w:t>
      </w:r>
      <w:r w:rsidR="00206742" w:rsidRPr="005B4D1E">
        <w:rPr>
          <w:rFonts w:hint="eastAsia"/>
        </w:rPr>
        <w:t>正确选择</w:t>
      </w:r>
      <w:bookmarkEnd w:id="109"/>
    </w:p>
    <w:p w:rsidR="009D14A5" w:rsidRPr="005B4D1E" w:rsidRDefault="009D14A5" w:rsidP="005B4D1E">
      <w:pPr>
        <w:tabs>
          <w:tab w:val="left" w:pos="6519"/>
        </w:tabs>
        <w:wordWrap w:val="0"/>
        <w:spacing w:line="360" w:lineRule="auto"/>
        <w:ind w:firstLineChars="200" w:firstLine="420"/>
        <w:rPr>
          <w:rFonts w:ascii="宋体" w:eastAsia="宋体" w:hAnsi="宋体"/>
          <w:sz w:val="21"/>
          <w:szCs w:val="21"/>
        </w:rPr>
      </w:pPr>
      <w:r w:rsidRPr="005B4D1E">
        <w:rPr>
          <w:rFonts w:ascii="宋体" w:eastAsia="宋体" w:hAnsi="宋体" w:hint="eastAsia"/>
          <w:sz w:val="21"/>
          <w:szCs w:val="21"/>
        </w:rPr>
        <w:t>根据分子流行病学研究掌握的广西PRRSV流行毒株基因型及主要基因亚型，以及农业部的HP-PRRS防控技术指导，结合广西HP-PRRS发生、流行情况，建议采购有针对性的疫苗种</w:t>
      </w:r>
      <w:r w:rsidRPr="005B4D1E">
        <w:rPr>
          <w:rFonts w:ascii="宋体" w:eastAsia="宋体" w:hAnsi="宋体" w:hint="eastAsia"/>
          <w:sz w:val="21"/>
          <w:szCs w:val="21"/>
        </w:rPr>
        <w:lastRenderedPageBreak/>
        <w:t>类及毒株，发放全区各地开展强制性免疫。为此，广西2007年下半年开始采购JXA1株灭活苗，对猪群进行免疫接种来预防HP-PRRS。2008、2009年所用疫苗均为灭活疫苗，2010年根据前期疫苗防控效果及抗体、病原监测结果，在继续使用灭活疫苗的基础上，着手使用和评估弱毒疫苗，2011年扩大使用弱毒疫苗、减少使用灭活疫苗，2012年以使用弱毒疫苗为主、灭活疫苗为辅。2007-2012年，全区共采购猪蓝耳病灭活疫苗17343.29万毫升、弱毒疫苗9542.4万头份（表40、41），发放各地进行强制性免疫。通过近年来坚持制定和实施有效的疫苗接种及综合防控策略，使得我区蓝耳病免疫抗体合格率显著提高，猪群发病率、死亡率、健康带毒率显著下降，HP-PRRS防控工作取得显著成效。</w:t>
      </w:r>
    </w:p>
    <w:p w:rsidR="009D14A5" w:rsidRPr="005B4D1E" w:rsidRDefault="009D14A5" w:rsidP="005B4D1E">
      <w:pPr>
        <w:tabs>
          <w:tab w:val="left" w:pos="6519"/>
        </w:tabs>
        <w:wordWrap w:val="0"/>
        <w:spacing w:line="360" w:lineRule="auto"/>
        <w:ind w:firstLineChars="200" w:firstLine="420"/>
        <w:rPr>
          <w:rFonts w:ascii="宋体" w:eastAsia="宋体" w:hAnsi="宋体"/>
          <w:sz w:val="21"/>
          <w:szCs w:val="21"/>
        </w:rPr>
      </w:pPr>
    </w:p>
    <w:p w:rsidR="009D14A5" w:rsidRPr="005B4D1E" w:rsidRDefault="009D14A5" w:rsidP="00B03D18">
      <w:pPr>
        <w:pStyle w:val="a6"/>
        <w:spacing w:before="156"/>
      </w:pPr>
      <w:bookmarkStart w:id="110" w:name="_Toc405816443"/>
      <w:r w:rsidRPr="005B4D1E">
        <w:rPr>
          <w:rFonts w:hint="eastAsia"/>
        </w:rPr>
        <w:t>表</w:t>
      </w:r>
      <w:r w:rsidR="00B03D18">
        <w:rPr>
          <w:rFonts w:hint="eastAsia"/>
        </w:rPr>
        <w:t xml:space="preserve">40 </w:t>
      </w:r>
      <w:r w:rsidRPr="005B4D1E">
        <w:rPr>
          <w:rFonts w:hint="eastAsia"/>
        </w:rPr>
        <w:t>2007-2012</w:t>
      </w:r>
      <w:r w:rsidRPr="005B4D1E">
        <w:rPr>
          <w:rFonts w:hint="eastAsia"/>
        </w:rPr>
        <w:t>年广西各市领用蓝耳病疫苗情况表（单位：弱毒疫苗为万头份，灭活疫苗为万毫升）</w:t>
      </w:r>
      <w:bookmarkEnd w:id="110"/>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5270500" cy="3166110"/>
            <wp:effectExtent l="19050" t="0" r="635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pic:cNvPicPr>
                      <a:picLocks noChangeAspect="1" noChangeArrowheads="1"/>
                    </pic:cNvPicPr>
                  </pic:nvPicPr>
                  <pic:blipFill>
                    <a:blip r:embed="rId99" cstate="print"/>
                    <a:srcRect/>
                    <a:stretch>
                      <a:fillRect/>
                    </a:stretch>
                  </pic:blipFill>
                  <pic:spPr bwMode="auto">
                    <a:xfrm>
                      <a:off x="0" y="0"/>
                      <a:ext cx="5270500" cy="3166110"/>
                    </a:xfrm>
                    <a:prstGeom prst="rect">
                      <a:avLst/>
                    </a:prstGeom>
                    <a:noFill/>
                    <a:ln w="9525">
                      <a:noFill/>
                      <a:miter lim="800000"/>
                      <a:headEnd/>
                      <a:tailEnd/>
                    </a:ln>
                  </pic:spPr>
                </pic:pic>
              </a:graphicData>
            </a:graphic>
          </wp:inline>
        </w:drawing>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注：灭活疫曲毒株均为JXA1株，弱毒疫苗毒株2010年为JXA1株和TJM株、2011-2012年为TJM株。</w:t>
      </w:r>
    </w:p>
    <w:p w:rsidR="00B03D18" w:rsidRDefault="00B03D18" w:rsidP="009D14A5">
      <w:pPr>
        <w:tabs>
          <w:tab w:val="left" w:pos="6519"/>
        </w:tabs>
        <w:wordWrap w:val="0"/>
        <w:spacing w:line="360" w:lineRule="auto"/>
        <w:jc w:val="center"/>
        <w:rPr>
          <w:rFonts w:ascii="宋体" w:eastAsia="宋体" w:hAnsi="宋体"/>
          <w:b/>
          <w:bCs/>
          <w:sz w:val="21"/>
          <w:szCs w:val="21"/>
        </w:rPr>
      </w:pPr>
    </w:p>
    <w:p w:rsidR="00B03D18" w:rsidRDefault="00B03D18" w:rsidP="009D14A5">
      <w:pPr>
        <w:tabs>
          <w:tab w:val="left" w:pos="6519"/>
        </w:tabs>
        <w:wordWrap w:val="0"/>
        <w:spacing w:line="360" w:lineRule="auto"/>
        <w:jc w:val="center"/>
        <w:rPr>
          <w:rFonts w:ascii="宋体" w:eastAsia="宋体" w:hAnsi="宋体"/>
          <w:b/>
          <w:bCs/>
          <w:sz w:val="21"/>
          <w:szCs w:val="21"/>
        </w:rPr>
      </w:pPr>
    </w:p>
    <w:p w:rsidR="00B03D18" w:rsidRDefault="00B03D18" w:rsidP="009D14A5">
      <w:pPr>
        <w:tabs>
          <w:tab w:val="left" w:pos="6519"/>
        </w:tabs>
        <w:wordWrap w:val="0"/>
        <w:spacing w:line="360" w:lineRule="auto"/>
        <w:jc w:val="center"/>
        <w:rPr>
          <w:rFonts w:ascii="宋体" w:eastAsia="宋体" w:hAnsi="宋体"/>
          <w:b/>
          <w:bCs/>
          <w:sz w:val="21"/>
          <w:szCs w:val="21"/>
        </w:rPr>
      </w:pPr>
    </w:p>
    <w:p w:rsidR="00B03D18" w:rsidRDefault="00B03D18" w:rsidP="009D14A5">
      <w:pPr>
        <w:tabs>
          <w:tab w:val="left" w:pos="6519"/>
        </w:tabs>
        <w:wordWrap w:val="0"/>
        <w:spacing w:line="360" w:lineRule="auto"/>
        <w:jc w:val="center"/>
        <w:rPr>
          <w:rFonts w:ascii="宋体" w:eastAsia="宋体" w:hAnsi="宋体"/>
          <w:b/>
          <w:bCs/>
          <w:sz w:val="21"/>
          <w:szCs w:val="21"/>
        </w:rPr>
      </w:pPr>
    </w:p>
    <w:p w:rsidR="00B03D18" w:rsidRDefault="00B03D18" w:rsidP="009D14A5">
      <w:pPr>
        <w:tabs>
          <w:tab w:val="left" w:pos="6519"/>
        </w:tabs>
        <w:wordWrap w:val="0"/>
        <w:spacing w:line="360" w:lineRule="auto"/>
        <w:jc w:val="center"/>
        <w:rPr>
          <w:rFonts w:ascii="宋体" w:eastAsia="宋体" w:hAnsi="宋体"/>
          <w:b/>
          <w:bCs/>
          <w:sz w:val="21"/>
          <w:szCs w:val="21"/>
        </w:rPr>
      </w:pPr>
    </w:p>
    <w:p w:rsidR="009D14A5" w:rsidRPr="005B4D1E" w:rsidRDefault="009D14A5" w:rsidP="00B03D18">
      <w:pPr>
        <w:pStyle w:val="a6"/>
        <w:spacing w:before="156"/>
      </w:pPr>
      <w:bookmarkStart w:id="111" w:name="_Toc405816444"/>
      <w:r w:rsidRPr="005B4D1E">
        <w:rPr>
          <w:rFonts w:hint="eastAsia"/>
        </w:rPr>
        <w:lastRenderedPageBreak/>
        <w:t>表</w:t>
      </w:r>
      <w:r w:rsidR="00B03D18">
        <w:rPr>
          <w:rFonts w:hint="eastAsia"/>
        </w:rPr>
        <w:t xml:space="preserve">41 </w:t>
      </w:r>
      <w:r w:rsidRPr="005B4D1E">
        <w:rPr>
          <w:rFonts w:hint="eastAsia"/>
        </w:rPr>
        <w:t>2007-2012</w:t>
      </w:r>
      <w:r w:rsidRPr="005B4D1E">
        <w:rPr>
          <w:rFonts w:hint="eastAsia"/>
        </w:rPr>
        <w:t>年广西各市领用蓝耳病疫苗汇总表</w:t>
      </w:r>
      <w:bookmarkEnd w:id="111"/>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3881755" cy="4235450"/>
            <wp:effectExtent l="19050" t="0" r="4445"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
                    <pic:cNvPicPr>
                      <a:picLocks noChangeAspect="1" noChangeArrowheads="1"/>
                    </pic:cNvPicPr>
                  </pic:nvPicPr>
                  <pic:blipFill>
                    <a:blip r:embed="rId100" cstate="print"/>
                    <a:srcRect/>
                    <a:stretch>
                      <a:fillRect/>
                    </a:stretch>
                  </pic:blipFill>
                  <pic:spPr bwMode="auto">
                    <a:xfrm>
                      <a:off x="0" y="0"/>
                      <a:ext cx="3881755" cy="4235450"/>
                    </a:xfrm>
                    <a:prstGeom prst="rect">
                      <a:avLst/>
                    </a:prstGeom>
                    <a:noFill/>
                    <a:ln w="9525">
                      <a:noFill/>
                      <a:miter lim="800000"/>
                      <a:headEnd/>
                      <a:tailEnd/>
                    </a:ln>
                  </pic:spPr>
                </pic:pic>
              </a:graphicData>
            </a:graphic>
          </wp:inline>
        </w:drawing>
      </w:r>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hint="eastAsia"/>
          <w:sz w:val="21"/>
          <w:szCs w:val="21"/>
        </w:rPr>
        <w:t>注：灭活疫苗毒株均为JXA1株，弱毒疫苗毒株2010年为JXA1株</w:t>
      </w:r>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hint="eastAsia"/>
          <w:sz w:val="21"/>
          <w:szCs w:val="21"/>
        </w:rPr>
        <w:t>和TJM株、2011-2012年为TJM株。</w:t>
      </w:r>
    </w:p>
    <w:p w:rsidR="009D14A5" w:rsidRPr="005B4D1E" w:rsidRDefault="009D14A5" w:rsidP="009D14A5">
      <w:pPr>
        <w:tabs>
          <w:tab w:val="left" w:pos="6519"/>
        </w:tabs>
        <w:wordWrap w:val="0"/>
        <w:spacing w:line="360" w:lineRule="auto"/>
        <w:jc w:val="center"/>
        <w:rPr>
          <w:rFonts w:ascii="宋体" w:eastAsia="宋体" w:hAnsi="宋体"/>
          <w:sz w:val="21"/>
          <w:szCs w:val="21"/>
        </w:rPr>
      </w:pPr>
    </w:p>
    <w:p w:rsidR="009D14A5" w:rsidRPr="005B4D1E" w:rsidRDefault="009D14A5" w:rsidP="00206742">
      <w:pPr>
        <w:pStyle w:val="2"/>
      </w:pPr>
      <w:bookmarkStart w:id="112" w:name="_Toc405816286"/>
      <w:r w:rsidRPr="005B4D1E">
        <w:rPr>
          <w:rFonts w:hint="eastAsia"/>
        </w:rPr>
        <w:t>自治区、市、县、乡、村兽医人员技术培训及指导</w:t>
      </w:r>
      <w:bookmarkEnd w:id="112"/>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熟练掌握动物疫病防控知识和技能是做好防控工作的基础。2008年以来，</w:t>
      </w:r>
      <w:r w:rsidR="00EC0434">
        <w:rPr>
          <w:rFonts w:ascii="宋体" w:eastAsia="宋体" w:hAnsi="宋体" w:hint="eastAsia"/>
          <w:sz w:val="21"/>
          <w:szCs w:val="21"/>
        </w:rPr>
        <w:t>研究</w:t>
      </w:r>
      <w:r w:rsidRPr="005B4D1E">
        <w:rPr>
          <w:rFonts w:ascii="宋体" w:eastAsia="宋体" w:hAnsi="宋体" w:hint="eastAsia"/>
          <w:sz w:val="21"/>
          <w:szCs w:val="21"/>
        </w:rPr>
        <w:t>组采取集中培训、现场指导、技术考核、学术研讨等多种形式，开展HP-PRRS防控技术培训、技术指导。2008-2012年，累计举办技术培训班99期（次），培训各级各类人员20450人次，发放技术资料80802份（表42）。</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针对广大兽医人员、养殖业者对HP-PRRS认识不足、防控技术欠缺，HP-PRRS疫情复杂、防控难度大的困难局面，紧紧围绕动物疫病防控技术、动物疫病免疫操作技术、实验室操作技术、动物疫病监测与疫情信息技术等开展技术培训和技术指导，坚持面向各级各类兽医人员、从业人员开展培训。突出抓好蓝耳病病原学特征、流行病学特点、致病及免疫机理、诊断检测技术、疫苗免疫特点及接种技术、综合防控技术等基础知识、操作技能的培训，并强调与其它疫病同时防控、加强饲养管理、做好防寒保暖、生物安全等综合防控措施。同对，</w:t>
      </w:r>
      <w:r w:rsidRPr="005B4D1E">
        <w:rPr>
          <w:rFonts w:ascii="宋体" w:eastAsia="宋体" w:hAnsi="宋体" w:hint="eastAsia"/>
          <w:sz w:val="21"/>
          <w:szCs w:val="21"/>
        </w:rPr>
        <w:lastRenderedPageBreak/>
        <w:t>结合疫情处置加强现场指导、实验室诊断技术培训。通过培训和指导，使区、市、县、乡、村兽医人员以及养殖场兽医人员、从业人员极大地提高了HP~PRRS的综合防控技术，培养了一支数量众多的科技人员队伍，成为我区开展包括蓝耳病在内的重大动物疫病防控的骨干和生力军，为HP-PRRS的有效防控提供了人才保障。</w:t>
      </w:r>
    </w:p>
    <w:p w:rsidR="009D14A5" w:rsidRPr="005B4D1E" w:rsidRDefault="009D14A5" w:rsidP="00B03D18">
      <w:pPr>
        <w:pStyle w:val="a6"/>
        <w:spacing w:before="156"/>
      </w:pPr>
      <w:bookmarkStart w:id="113" w:name="_Toc405816445"/>
      <w:r w:rsidRPr="005B4D1E">
        <w:rPr>
          <w:rFonts w:hint="eastAsia"/>
        </w:rPr>
        <w:t>表</w:t>
      </w:r>
      <w:r w:rsidR="00B03D18">
        <w:rPr>
          <w:rFonts w:hint="eastAsia"/>
        </w:rPr>
        <w:t xml:space="preserve">42 </w:t>
      </w:r>
      <w:r w:rsidRPr="005B4D1E">
        <w:rPr>
          <w:rFonts w:hint="eastAsia"/>
        </w:rPr>
        <w:t>2008-2012</w:t>
      </w:r>
      <w:r w:rsidRPr="005B4D1E">
        <w:rPr>
          <w:rFonts w:hint="eastAsia"/>
        </w:rPr>
        <w:t>年培训情况统计表</w:t>
      </w:r>
      <w:bookmarkEnd w:id="113"/>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2959100" cy="1604645"/>
            <wp:effectExtent l="1905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pic:cNvPicPr>
                      <a:picLocks noChangeAspect="1" noChangeArrowheads="1"/>
                    </pic:cNvPicPr>
                  </pic:nvPicPr>
                  <pic:blipFill>
                    <a:blip r:embed="rId101" cstate="print"/>
                    <a:srcRect/>
                    <a:stretch>
                      <a:fillRect/>
                    </a:stretch>
                  </pic:blipFill>
                  <pic:spPr bwMode="auto">
                    <a:xfrm>
                      <a:off x="0" y="0"/>
                      <a:ext cx="2959100" cy="1604645"/>
                    </a:xfrm>
                    <a:prstGeom prst="rect">
                      <a:avLst/>
                    </a:prstGeom>
                    <a:noFill/>
                    <a:ln w="9525">
                      <a:noFill/>
                      <a:miter lim="800000"/>
                      <a:headEnd/>
                      <a:tailEnd/>
                    </a:ln>
                  </pic:spPr>
                </pic:pic>
              </a:graphicData>
            </a:graphic>
          </wp:inline>
        </w:drawing>
      </w:r>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4020185" cy="4364990"/>
            <wp:effectExtent l="1905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pic:cNvPicPr>
                      <a:picLocks noChangeAspect="1" noChangeArrowheads="1"/>
                    </pic:cNvPicPr>
                  </pic:nvPicPr>
                  <pic:blipFill>
                    <a:blip r:embed="rId102" cstate="print"/>
                    <a:srcRect/>
                    <a:stretch>
                      <a:fillRect/>
                    </a:stretch>
                  </pic:blipFill>
                  <pic:spPr bwMode="auto">
                    <a:xfrm>
                      <a:off x="0" y="0"/>
                      <a:ext cx="4020185" cy="4364990"/>
                    </a:xfrm>
                    <a:prstGeom prst="rect">
                      <a:avLst/>
                    </a:prstGeom>
                    <a:noFill/>
                    <a:ln w="9525">
                      <a:noFill/>
                      <a:miter lim="800000"/>
                      <a:headEnd/>
                      <a:tailEnd/>
                    </a:ln>
                  </pic:spPr>
                </pic:pic>
              </a:graphicData>
            </a:graphic>
          </wp:inline>
        </w:drawing>
      </w:r>
    </w:p>
    <w:p w:rsidR="009D14A5" w:rsidRPr="005B4D1E" w:rsidRDefault="009D14A5" w:rsidP="00B03D18">
      <w:pPr>
        <w:pStyle w:val="a5"/>
        <w:spacing w:after="156"/>
      </w:pPr>
      <w:bookmarkStart w:id="114" w:name="_Toc405816357"/>
      <w:r w:rsidRPr="005B4D1E">
        <w:rPr>
          <w:rFonts w:hint="eastAsia"/>
        </w:rPr>
        <w:t>图</w:t>
      </w:r>
      <w:r w:rsidR="00B03D18">
        <w:rPr>
          <w:rFonts w:hint="eastAsia"/>
        </w:rPr>
        <w:t xml:space="preserve">53 </w:t>
      </w:r>
      <w:r w:rsidRPr="005B4D1E">
        <w:rPr>
          <w:rFonts w:hint="eastAsia"/>
        </w:rPr>
        <w:t>开展猪蓝耳病防控技术培训及指导</w:t>
      </w:r>
      <w:bookmarkEnd w:id="114"/>
    </w:p>
    <w:p w:rsidR="009D14A5" w:rsidRPr="005B4D1E" w:rsidRDefault="009D14A5" w:rsidP="00206742">
      <w:pPr>
        <w:pStyle w:val="2"/>
      </w:pPr>
      <w:bookmarkStart w:id="115" w:name="_Toc405816287"/>
      <w:r w:rsidRPr="005B4D1E">
        <w:rPr>
          <w:rFonts w:hint="eastAsia"/>
        </w:rPr>
        <w:t>实验室检测能力及疫情信息系统的建设与运行</w:t>
      </w:r>
      <w:r w:rsidR="00206742">
        <w:rPr>
          <w:rFonts w:hint="eastAsia"/>
        </w:rPr>
        <w:t>的强化</w:t>
      </w:r>
      <w:bookmarkEnd w:id="115"/>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广西全区兽医实验室105个，其中自治区级1个、市级14个、县级90个。截止2012年12月，实验室面积26600平方米，实验室检测人员331名。为提高检测人员的检测能力，</w:t>
      </w:r>
      <w:r w:rsidRPr="005B4D1E">
        <w:rPr>
          <w:rFonts w:ascii="宋体" w:eastAsia="宋体" w:hAnsi="宋体" w:hint="eastAsia"/>
          <w:sz w:val="21"/>
          <w:szCs w:val="21"/>
        </w:rPr>
        <w:lastRenderedPageBreak/>
        <w:t>及时、准确开展动物疫病的监测、检测、诊断及流行病学调查，近年来，</w:t>
      </w:r>
      <w:r w:rsidR="00EC0434">
        <w:rPr>
          <w:rFonts w:ascii="宋体" w:eastAsia="宋体" w:hAnsi="宋体" w:hint="eastAsia"/>
          <w:sz w:val="21"/>
          <w:szCs w:val="21"/>
        </w:rPr>
        <w:t>研究</w:t>
      </w:r>
      <w:r w:rsidRPr="005B4D1E">
        <w:rPr>
          <w:rFonts w:ascii="宋体" w:eastAsia="宋体" w:hAnsi="宋体" w:hint="eastAsia"/>
          <w:sz w:val="21"/>
          <w:szCs w:val="21"/>
        </w:rPr>
        <w:t>组通过集中培训、现场示范指导、个别跟班学习、学术交流研讨，参与组织全区实验室技能大比武、实验室比对试验等多种形式，着力开展实验室检测技术培训，重点抓好血凝试验和血凝抑制试验、正向间接血凝试验、ELISA、RT-PCR、PCR等技术的培训，努力提高技术人员的技战术水平，全区兽医检测能力大幅提升。截止2012年12月底，全区331名检测人员中，272名取得兽医化验员证，拥有正高级职称9人、副高职称31人、中级职称184人、初级职称107人、技术员14人。具有血凝和血凝抑制试验以及正向间接血凝试验等检测能力人员192名、ELISA检测能力169人、PCR/RT-PCR检测能力90人，能够满足兽医实验室日常监测、检测、诊断、流行病学调查以及疫情处置的需要。</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深入市、县实验室，现场指导检测技术操作、仪器设备使用，帮助建立实验室质量管理体系、生物安全管理体系，稳步推进实验室规范化管理、科学化运行。2010年开始，按照农业部对兽医实验室考核的统一要求，加强兽医实验室软硬件建设的指导，着力开展兽医实验室考核。截止2012年12月底，全区已有17家兽医实验室通过考核，获得农业部颁发的兽医实验室合格证。</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为了及时、全面、准确地掌握动物疫情信息，科学地制定动物防疫规划和各项具体措施，以适应国家动物疫情发布制度及加入世界动物卫生组织(OIE)新形势的需要，着力在自治区、14个市、121个县（市、区）全面推行动物疫病监测预警体系建设。通过建设，一是建立起自治区、市、县、乡、村、屯五级动物疫情测报网络点，落实专职疫情报告人，对动物疫病的发生、流行进行预警、预报；二是建立动物疫病监测点，依托自治区、市、县（市、区）三级兽医实验室开展日常监测、定点监测；三是开发疫情报告计算机管理软件、配备疫情数据传输专用电脑、电话、传真机等硬件，组建县、市、自治区三级网络传输机构；四是全区14个市和121个县（市、区）均配备了疫情信息统计上报专职人员，并对专职疫情报告人员进行专门化网络培训，使其能对疫情及监测进行准确定性，并及时将疫情数据通过计算机经网络上报。通过疫情信息系统建设，充分发挥动物疫情及疫病监测等数据在广西整个动物防疫工作中的重要作用。</w:t>
      </w:r>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lastRenderedPageBreak/>
        <w:drawing>
          <wp:inline distT="0" distB="0" distL="0" distR="0">
            <wp:extent cx="3916680" cy="4157980"/>
            <wp:effectExtent l="19050" t="0" r="762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pic:cNvPicPr>
                      <a:picLocks noChangeAspect="1" noChangeArrowheads="1"/>
                    </pic:cNvPicPr>
                  </pic:nvPicPr>
                  <pic:blipFill>
                    <a:blip r:embed="rId103" cstate="print"/>
                    <a:srcRect/>
                    <a:stretch>
                      <a:fillRect/>
                    </a:stretch>
                  </pic:blipFill>
                  <pic:spPr bwMode="auto">
                    <a:xfrm>
                      <a:off x="0" y="0"/>
                      <a:ext cx="3916680" cy="4157980"/>
                    </a:xfrm>
                    <a:prstGeom prst="rect">
                      <a:avLst/>
                    </a:prstGeom>
                    <a:noFill/>
                    <a:ln w="9525">
                      <a:noFill/>
                      <a:miter lim="800000"/>
                      <a:headEnd/>
                      <a:tailEnd/>
                    </a:ln>
                  </pic:spPr>
                </pic:pic>
              </a:graphicData>
            </a:graphic>
          </wp:inline>
        </w:drawing>
      </w:r>
    </w:p>
    <w:p w:rsidR="009D14A5" w:rsidRPr="005B4D1E" w:rsidRDefault="009D14A5" w:rsidP="00B03D18">
      <w:pPr>
        <w:pStyle w:val="a5"/>
        <w:spacing w:after="156"/>
      </w:pPr>
      <w:bookmarkStart w:id="116" w:name="_Toc405816358"/>
      <w:r w:rsidRPr="005B4D1E">
        <w:rPr>
          <w:rFonts w:hint="eastAsia"/>
        </w:rPr>
        <w:t>图</w:t>
      </w:r>
      <w:r w:rsidRPr="005B4D1E">
        <w:rPr>
          <w:rFonts w:hint="eastAsia"/>
        </w:rPr>
        <w:t>54</w:t>
      </w:r>
      <w:r w:rsidR="00B03D18">
        <w:rPr>
          <w:rFonts w:hint="eastAsia"/>
        </w:rPr>
        <w:t xml:space="preserve"> </w:t>
      </w:r>
      <w:r w:rsidRPr="005B4D1E">
        <w:rPr>
          <w:rFonts w:hint="eastAsia"/>
        </w:rPr>
        <w:t>开展实验室技能培训与考核</w:t>
      </w:r>
      <w:bookmarkEnd w:id="116"/>
    </w:p>
    <w:p w:rsidR="009D14A5" w:rsidRPr="005B4D1E" w:rsidRDefault="009D14A5" w:rsidP="009D14A5">
      <w:pPr>
        <w:tabs>
          <w:tab w:val="left" w:pos="6519"/>
        </w:tabs>
        <w:wordWrap w:val="0"/>
        <w:spacing w:line="360" w:lineRule="auto"/>
        <w:rPr>
          <w:rFonts w:ascii="宋体" w:eastAsia="宋体" w:hAnsi="宋体"/>
          <w:sz w:val="21"/>
          <w:szCs w:val="21"/>
        </w:rPr>
      </w:pPr>
    </w:p>
    <w:p w:rsidR="009D14A5" w:rsidRPr="005B4D1E" w:rsidRDefault="009D14A5" w:rsidP="00206742">
      <w:pPr>
        <w:pStyle w:val="2"/>
      </w:pPr>
      <w:bookmarkStart w:id="117" w:name="_Toc405816288"/>
      <w:r w:rsidRPr="005B4D1E">
        <w:rPr>
          <w:rFonts w:hint="eastAsia"/>
        </w:rPr>
        <w:t>PRRSV</w:t>
      </w:r>
      <w:r w:rsidRPr="005B4D1E">
        <w:rPr>
          <w:rFonts w:hint="eastAsia"/>
        </w:rPr>
        <w:t>抗体监测与评估</w:t>
      </w:r>
      <w:bookmarkEnd w:id="117"/>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2007年上半年之前，我区部分猪场已经使用勃林格公司的PRRSV经典株弱毒疫苗。2006年爆发HP-PRRS之后，根据农业部的统一部署，2007年下半年，我区开始使用蓝耳病灭活疫苗对规模场及散养户猪群进行强制免疫。为评估疫苗的免疫效果，</w:t>
      </w:r>
      <w:r w:rsidR="00EC0434">
        <w:rPr>
          <w:rFonts w:ascii="宋体" w:eastAsia="宋体" w:hAnsi="宋体" w:hint="eastAsia"/>
          <w:sz w:val="21"/>
          <w:szCs w:val="21"/>
        </w:rPr>
        <w:t>研究</w:t>
      </w:r>
      <w:r w:rsidRPr="005B4D1E">
        <w:rPr>
          <w:rFonts w:ascii="宋体" w:eastAsia="宋体" w:hAnsi="宋体" w:hint="eastAsia"/>
          <w:sz w:val="21"/>
          <w:szCs w:val="21"/>
        </w:rPr>
        <w:t>组在2007-2012年间，对来自规模场、散养户、屠宰场的猪血清，使用美国IDEXX公司或法国LSI公司的PRRSV抗体检测试剂盒，应用ELISA方法检测PRRSV抗体。</w:t>
      </w:r>
      <w:r w:rsidR="00EC0434">
        <w:rPr>
          <w:rFonts w:ascii="宋体" w:eastAsia="宋体" w:hAnsi="宋体" w:hint="eastAsia"/>
          <w:sz w:val="21"/>
          <w:szCs w:val="21"/>
        </w:rPr>
        <w:t>研究</w:t>
      </w:r>
      <w:r w:rsidRPr="005B4D1E">
        <w:rPr>
          <w:rFonts w:ascii="宋体" w:eastAsia="宋体" w:hAnsi="宋体" w:hint="eastAsia"/>
          <w:sz w:val="21"/>
          <w:szCs w:val="21"/>
        </w:rPr>
        <w:t>实施期间，共检测血清样品53130份，PRRSV抗体阳性38007份，阳性率71.54%；其中，来自规模场血清样品37020份，阳性26240份，阳性率70.88%；来自散养户血清样品11570份，阳性8899份，阳性率76.91%；来自屠宰场血清样品4540份，阳性2868份，阳性率63.17%（表43、图55）。</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2007-2012年间，总体抗体阳性率2008年(57.24%)比2007年(63.87%)低，2009年(48.06%)又比2008年低，达到谷底，此后的2010-2012年，总体阳性率有较大幅度的提高，分别为71.01%、76.09%和72.29%。来自规模场血清样品的阳性率，其变化趋势与总体阳性率的变化趋势相同；2009年以后来自散养户血清样品的阳性率在2009年最低(42.35%)，2010年后有大幅度提高，阳性率均在70%以上。值得注意的是，2009年后来自屠宰场的血清样品，</w:t>
      </w:r>
      <w:r w:rsidRPr="005B4D1E">
        <w:rPr>
          <w:rFonts w:ascii="宋体" w:eastAsia="宋体" w:hAnsi="宋体" w:hint="eastAsia"/>
          <w:sz w:val="21"/>
          <w:szCs w:val="21"/>
        </w:rPr>
        <w:lastRenderedPageBreak/>
        <w:t>其阳性率在2009年为27%，2010-2011年有大幅度提高，阳性率均在70%以上，但2012年又大幅下降，阳性率仅有58.08%，这提示我们应加强猪群的疫苗免疫，防止免疫抗体阳性率进一步下滑（图56）。</w:t>
      </w:r>
    </w:p>
    <w:p w:rsidR="009D14A5" w:rsidRPr="005B4D1E" w:rsidRDefault="009D14A5" w:rsidP="005B4D1E">
      <w:pPr>
        <w:tabs>
          <w:tab w:val="left" w:pos="6519"/>
        </w:tabs>
        <w:wordWrap w:val="0"/>
        <w:spacing w:line="360" w:lineRule="auto"/>
        <w:ind w:firstLineChars="200" w:firstLine="420"/>
        <w:rPr>
          <w:rFonts w:ascii="宋体" w:eastAsia="宋体" w:hAnsi="宋体"/>
          <w:sz w:val="21"/>
          <w:szCs w:val="21"/>
        </w:rPr>
      </w:pPr>
      <w:r w:rsidRPr="005B4D1E">
        <w:rPr>
          <w:rFonts w:ascii="宋体" w:eastAsia="宋体" w:hAnsi="宋体" w:hint="eastAsia"/>
          <w:sz w:val="21"/>
          <w:szCs w:val="21"/>
        </w:rPr>
        <w:t>小结：为评估我区猪蓝耳病疫苗的免疫效果，结合养殖户送检、定点监测采样、春秋防验收采样及</w:t>
      </w:r>
      <w:r w:rsidR="00EC0434">
        <w:rPr>
          <w:rFonts w:ascii="宋体" w:eastAsia="宋体" w:hAnsi="宋体" w:hint="eastAsia"/>
          <w:sz w:val="21"/>
          <w:szCs w:val="21"/>
        </w:rPr>
        <w:t>研究</w:t>
      </w:r>
      <w:r w:rsidRPr="005B4D1E">
        <w:rPr>
          <w:rFonts w:ascii="宋体" w:eastAsia="宋体" w:hAnsi="宋体" w:hint="eastAsia"/>
          <w:sz w:val="21"/>
          <w:szCs w:val="21"/>
        </w:rPr>
        <w:t>组抽样等多种形式采集猪血清样品，对来自规模场、散养户、屠宰场的猪血清，应用ELISA方法检测PRRSV抗体。</w:t>
      </w:r>
      <w:r w:rsidR="00EC0434">
        <w:rPr>
          <w:rFonts w:ascii="宋体" w:eastAsia="宋体" w:hAnsi="宋体" w:hint="eastAsia"/>
          <w:sz w:val="21"/>
          <w:szCs w:val="21"/>
        </w:rPr>
        <w:t>研究</w:t>
      </w:r>
      <w:r w:rsidRPr="005B4D1E">
        <w:rPr>
          <w:rFonts w:ascii="宋体" w:eastAsia="宋体" w:hAnsi="宋体" w:hint="eastAsia"/>
          <w:sz w:val="21"/>
          <w:szCs w:val="21"/>
        </w:rPr>
        <w:t>实施期间，共检测血清样品53130份，PRRSV抗体阳性38007份，阳性率71.54%；其中，来自规模场血清样品37020份，阳性26240份，阳性率70.88%；来自散养户血清样品11570份，阳性8899份，阳性率76.91%；来自屠宰场血清样品4540份，阳性2868份，阳性率63.17%。2007-2012年间，总体抗体阳性率从2007年的63.87%、2008年的57.24%、2009年的48.06%，到2010年的71.01%、2011年的76.09%、2012年的72.29%，总体阳性率有较大幅度的提高，表明近年来我区猪蓝耳病疫苗免疫取得明显成效，对全区蓝耳病发病率、死亡率逐年稳步下降起到关键作用。</w:t>
      </w:r>
    </w:p>
    <w:p w:rsidR="009D14A5" w:rsidRPr="005B4D1E" w:rsidRDefault="009D14A5" w:rsidP="005B4D1E">
      <w:pPr>
        <w:tabs>
          <w:tab w:val="left" w:pos="6519"/>
        </w:tabs>
        <w:wordWrap w:val="0"/>
        <w:spacing w:line="360" w:lineRule="auto"/>
        <w:ind w:firstLineChars="200" w:firstLine="420"/>
        <w:rPr>
          <w:rFonts w:ascii="宋体" w:eastAsia="宋体" w:hAnsi="宋体"/>
          <w:sz w:val="21"/>
          <w:szCs w:val="21"/>
        </w:rPr>
      </w:pPr>
    </w:p>
    <w:p w:rsidR="009D14A5" w:rsidRPr="005B4D1E" w:rsidRDefault="009D14A5" w:rsidP="00B03D18">
      <w:pPr>
        <w:pStyle w:val="a6"/>
        <w:spacing w:before="156"/>
      </w:pPr>
      <w:bookmarkStart w:id="118" w:name="_Toc405816446"/>
      <w:r w:rsidRPr="005B4D1E">
        <w:rPr>
          <w:rFonts w:hint="eastAsia"/>
        </w:rPr>
        <w:t>表</w:t>
      </w:r>
      <w:r w:rsidR="00B03D18">
        <w:rPr>
          <w:rFonts w:hint="eastAsia"/>
        </w:rPr>
        <w:t xml:space="preserve">43 </w:t>
      </w:r>
      <w:r w:rsidRPr="005B4D1E">
        <w:rPr>
          <w:rFonts w:hint="eastAsia"/>
        </w:rPr>
        <w:t>2007-2012</w:t>
      </w:r>
      <w:r w:rsidRPr="005B4D1E">
        <w:rPr>
          <w:rFonts w:hint="eastAsia"/>
        </w:rPr>
        <w:t>年广西猪血清</w:t>
      </w:r>
      <w:r w:rsidRPr="005B4D1E">
        <w:rPr>
          <w:rFonts w:hint="eastAsia"/>
        </w:rPr>
        <w:t>PRRSV</w:t>
      </w:r>
      <w:r w:rsidRPr="005B4D1E">
        <w:rPr>
          <w:rFonts w:hint="eastAsia"/>
        </w:rPr>
        <w:t>抗体监测结果</w:t>
      </w:r>
      <w:bookmarkEnd w:id="118"/>
    </w:p>
    <w:p w:rsidR="009D14A5" w:rsidRPr="005B4D1E" w:rsidRDefault="009D14A5" w:rsidP="009D14A5">
      <w:pPr>
        <w:tabs>
          <w:tab w:val="left" w:pos="6519"/>
        </w:tabs>
        <w:wordWrap w:val="0"/>
        <w:spacing w:line="360" w:lineRule="auto"/>
        <w:jc w:val="center"/>
        <w:rPr>
          <w:rFonts w:ascii="宋体" w:eastAsia="宋体" w:hAnsi="宋体"/>
          <w:b/>
          <w:bCs/>
          <w:sz w:val="21"/>
          <w:szCs w:val="21"/>
        </w:rPr>
      </w:pPr>
      <w:r w:rsidRPr="005B4D1E">
        <w:rPr>
          <w:rFonts w:ascii="宋体" w:eastAsia="宋体" w:hAnsi="宋体"/>
          <w:noProof/>
          <w:sz w:val="21"/>
          <w:szCs w:val="21"/>
        </w:rPr>
        <w:drawing>
          <wp:inline distT="0" distB="0" distL="0" distR="0">
            <wp:extent cx="4934585" cy="2605405"/>
            <wp:effectExtent l="1905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pic:cNvPicPr>
                      <a:picLocks noChangeAspect="1" noChangeArrowheads="1"/>
                    </pic:cNvPicPr>
                  </pic:nvPicPr>
                  <pic:blipFill>
                    <a:blip r:embed="rId104" cstate="print"/>
                    <a:srcRect/>
                    <a:stretch>
                      <a:fillRect/>
                    </a:stretch>
                  </pic:blipFill>
                  <pic:spPr bwMode="auto">
                    <a:xfrm>
                      <a:off x="0" y="0"/>
                      <a:ext cx="4934585" cy="2605405"/>
                    </a:xfrm>
                    <a:prstGeom prst="rect">
                      <a:avLst/>
                    </a:prstGeom>
                    <a:noFill/>
                    <a:ln w="9525">
                      <a:noFill/>
                      <a:miter lim="800000"/>
                      <a:headEnd/>
                      <a:tailEnd/>
                    </a:ln>
                  </pic:spPr>
                </pic:pic>
              </a:graphicData>
            </a:graphic>
          </wp:inline>
        </w:drawing>
      </w:r>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lastRenderedPageBreak/>
        <w:drawing>
          <wp:inline distT="0" distB="0" distL="0" distR="0">
            <wp:extent cx="4080510" cy="3735070"/>
            <wp:effectExtent l="1905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
                    <pic:cNvPicPr>
                      <a:picLocks noChangeAspect="1" noChangeArrowheads="1"/>
                    </pic:cNvPicPr>
                  </pic:nvPicPr>
                  <pic:blipFill>
                    <a:blip r:embed="rId105" cstate="print"/>
                    <a:srcRect/>
                    <a:stretch>
                      <a:fillRect/>
                    </a:stretch>
                  </pic:blipFill>
                  <pic:spPr bwMode="auto">
                    <a:xfrm>
                      <a:off x="0" y="0"/>
                      <a:ext cx="4080510" cy="3735070"/>
                    </a:xfrm>
                    <a:prstGeom prst="rect">
                      <a:avLst/>
                    </a:prstGeom>
                    <a:noFill/>
                    <a:ln w="9525">
                      <a:noFill/>
                      <a:miter lim="800000"/>
                      <a:headEnd/>
                      <a:tailEnd/>
                    </a:ln>
                  </pic:spPr>
                </pic:pic>
              </a:graphicData>
            </a:graphic>
          </wp:inline>
        </w:drawing>
      </w:r>
    </w:p>
    <w:p w:rsidR="009D14A5" w:rsidRPr="005B4D1E" w:rsidRDefault="009D14A5" w:rsidP="00B03D18">
      <w:pPr>
        <w:pStyle w:val="a5"/>
        <w:spacing w:after="156"/>
      </w:pPr>
      <w:bookmarkStart w:id="119" w:name="_Toc405816359"/>
      <w:r w:rsidRPr="005B4D1E">
        <w:rPr>
          <w:rFonts w:hint="eastAsia"/>
        </w:rPr>
        <w:t>图</w:t>
      </w:r>
      <w:r w:rsidR="00B03D18">
        <w:rPr>
          <w:rFonts w:hint="eastAsia"/>
        </w:rPr>
        <w:t xml:space="preserve">55 </w:t>
      </w:r>
      <w:r w:rsidRPr="005B4D1E">
        <w:rPr>
          <w:rFonts w:hint="eastAsia"/>
        </w:rPr>
        <w:t>2007-2012</w:t>
      </w:r>
      <w:r w:rsidRPr="005B4D1E">
        <w:rPr>
          <w:rFonts w:hint="eastAsia"/>
        </w:rPr>
        <w:t>年广西猪血清</w:t>
      </w:r>
      <w:r w:rsidRPr="005B4D1E">
        <w:rPr>
          <w:rFonts w:hint="eastAsia"/>
        </w:rPr>
        <w:t>PRRSV</w:t>
      </w:r>
      <w:r w:rsidRPr="005B4D1E">
        <w:rPr>
          <w:rFonts w:hint="eastAsia"/>
        </w:rPr>
        <w:t>抗体监测结果</w:t>
      </w:r>
      <w:bookmarkEnd w:id="119"/>
    </w:p>
    <w:p w:rsidR="009D14A5" w:rsidRPr="005B4D1E" w:rsidRDefault="009D14A5" w:rsidP="009D14A5">
      <w:pPr>
        <w:tabs>
          <w:tab w:val="left" w:pos="6519"/>
        </w:tabs>
        <w:wordWrap w:val="0"/>
        <w:spacing w:line="360" w:lineRule="auto"/>
        <w:rPr>
          <w:rFonts w:ascii="宋体" w:eastAsia="宋体" w:hAnsi="宋体"/>
          <w:b/>
          <w:bCs/>
          <w:sz w:val="21"/>
          <w:szCs w:val="21"/>
        </w:rPr>
      </w:pPr>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5270500" cy="2907030"/>
            <wp:effectExtent l="19050" t="0" r="635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pic:cNvPicPr>
                      <a:picLocks noChangeAspect="1" noChangeArrowheads="1"/>
                    </pic:cNvPicPr>
                  </pic:nvPicPr>
                  <pic:blipFill>
                    <a:blip r:embed="rId106" cstate="print"/>
                    <a:srcRect/>
                    <a:stretch>
                      <a:fillRect/>
                    </a:stretch>
                  </pic:blipFill>
                  <pic:spPr bwMode="auto">
                    <a:xfrm>
                      <a:off x="0" y="0"/>
                      <a:ext cx="5270500" cy="2907030"/>
                    </a:xfrm>
                    <a:prstGeom prst="rect">
                      <a:avLst/>
                    </a:prstGeom>
                    <a:noFill/>
                    <a:ln w="9525">
                      <a:noFill/>
                      <a:miter lim="800000"/>
                      <a:headEnd/>
                      <a:tailEnd/>
                    </a:ln>
                  </pic:spPr>
                </pic:pic>
              </a:graphicData>
            </a:graphic>
          </wp:inline>
        </w:drawing>
      </w:r>
    </w:p>
    <w:p w:rsidR="009D14A5" w:rsidRPr="005B4D1E" w:rsidRDefault="009D14A5" w:rsidP="00B03D18">
      <w:pPr>
        <w:pStyle w:val="a5"/>
        <w:spacing w:after="156"/>
      </w:pPr>
      <w:bookmarkStart w:id="120" w:name="_Toc405816360"/>
      <w:r w:rsidRPr="005B4D1E">
        <w:rPr>
          <w:rFonts w:hint="eastAsia"/>
        </w:rPr>
        <w:t>图</w:t>
      </w:r>
      <w:r w:rsidR="00B03D18">
        <w:rPr>
          <w:rFonts w:hint="eastAsia"/>
        </w:rPr>
        <w:t xml:space="preserve">56 </w:t>
      </w:r>
      <w:r w:rsidRPr="005B4D1E">
        <w:rPr>
          <w:rFonts w:hint="eastAsia"/>
        </w:rPr>
        <w:t>总体</w:t>
      </w:r>
      <w:r w:rsidRPr="005B4D1E">
        <w:rPr>
          <w:rFonts w:hint="eastAsia"/>
        </w:rPr>
        <w:t>(A)</w:t>
      </w:r>
      <w:r w:rsidRPr="005B4D1E">
        <w:rPr>
          <w:rFonts w:hint="eastAsia"/>
        </w:rPr>
        <w:t>及规模场</w:t>
      </w:r>
      <w:r w:rsidRPr="005B4D1E">
        <w:rPr>
          <w:rFonts w:hint="eastAsia"/>
        </w:rPr>
        <w:t>(B)</w:t>
      </w:r>
      <w:r w:rsidRPr="005B4D1E">
        <w:rPr>
          <w:rFonts w:hint="eastAsia"/>
        </w:rPr>
        <w:t>、散养户</w:t>
      </w:r>
      <w:r w:rsidRPr="005B4D1E">
        <w:rPr>
          <w:rFonts w:hint="eastAsia"/>
        </w:rPr>
        <w:t>(C)</w:t>
      </w:r>
      <w:r w:rsidRPr="005B4D1E">
        <w:rPr>
          <w:rFonts w:hint="eastAsia"/>
        </w:rPr>
        <w:t>、屠宰场</w:t>
      </w:r>
      <w:r w:rsidRPr="005B4D1E">
        <w:rPr>
          <w:rFonts w:hint="eastAsia"/>
        </w:rPr>
        <w:t>(D)</w:t>
      </w:r>
      <w:r w:rsidRPr="005B4D1E">
        <w:rPr>
          <w:rFonts w:hint="eastAsia"/>
        </w:rPr>
        <w:t>猪血清</w:t>
      </w:r>
      <w:r w:rsidRPr="005B4D1E">
        <w:rPr>
          <w:rFonts w:hint="eastAsia"/>
        </w:rPr>
        <w:t>PRRSV</w:t>
      </w:r>
      <w:r w:rsidRPr="005B4D1E">
        <w:rPr>
          <w:rFonts w:hint="eastAsia"/>
        </w:rPr>
        <w:t>抗体监测结果</w:t>
      </w:r>
      <w:bookmarkEnd w:id="120"/>
    </w:p>
    <w:p w:rsidR="009D14A5" w:rsidRPr="005B4D1E" w:rsidRDefault="009D14A5" w:rsidP="00206742">
      <w:pPr>
        <w:pStyle w:val="2"/>
      </w:pPr>
      <w:bookmarkStart w:id="121" w:name="_Toc405816289"/>
      <w:r w:rsidRPr="005B4D1E">
        <w:rPr>
          <w:rFonts w:hint="eastAsia"/>
        </w:rPr>
        <w:t>PRRSV</w:t>
      </w:r>
      <w:r w:rsidRPr="005B4D1E">
        <w:rPr>
          <w:rFonts w:hint="eastAsia"/>
        </w:rPr>
        <w:t>病原监测与评估</w:t>
      </w:r>
      <w:bookmarkEnd w:id="121"/>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为评估近年来广西对HP-PRRS的防控效果，为制定防控策略提供科学依据，</w:t>
      </w:r>
      <w:r w:rsidR="00EC0434">
        <w:rPr>
          <w:rFonts w:ascii="宋体" w:eastAsia="宋体" w:hAnsi="宋体" w:hint="eastAsia"/>
          <w:sz w:val="21"/>
          <w:szCs w:val="21"/>
        </w:rPr>
        <w:t>研究</w:t>
      </w:r>
      <w:r w:rsidRPr="005B4D1E">
        <w:rPr>
          <w:rFonts w:ascii="宋体" w:eastAsia="宋体" w:hAnsi="宋体" w:hint="eastAsia"/>
          <w:sz w:val="21"/>
          <w:szCs w:val="21"/>
        </w:rPr>
        <w:t>组在2007-2012年间，对来自规模场、散养户、屠宰场的病（死）猪组织样品（脾、肺、淋巴结），</w:t>
      </w:r>
      <w:r w:rsidRPr="005B4D1E">
        <w:rPr>
          <w:rFonts w:ascii="宋体" w:eastAsia="宋体" w:hAnsi="宋体" w:hint="eastAsia"/>
          <w:sz w:val="21"/>
          <w:szCs w:val="21"/>
        </w:rPr>
        <w:lastRenderedPageBreak/>
        <w:t>应用RT-PCR方法检测PRRSV病原。</w:t>
      </w:r>
      <w:r w:rsidR="00EC0434">
        <w:rPr>
          <w:rFonts w:ascii="宋体" w:eastAsia="宋体" w:hAnsi="宋体" w:hint="eastAsia"/>
          <w:sz w:val="21"/>
          <w:szCs w:val="21"/>
        </w:rPr>
        <w:t>研究</w:t>
      </w:r>
      <w:r w:rsidRPr="005B4D1E">
        <w:rPr>
          <w:rFonts w:ascii="宋体" w:eastAsia="宋体" w:hAnsi="宋体" w:hint="eastAsia"/>
          <w:sz w:val="21"/>
          <w:szCs w:val="21"/>
        </w:rPr>
        <w:t>实施期间，共检测病（死）猪组织样品3417份，结果PRRSV病原阳性1666份，平均阳性率48.76%；其中，阳性率最高的是2007年，阳性率为80.12%，最低的是2012年，阳性率为35.93%，6年间PRRSV病原阳性率下降非常明显，下降了44.19个百分点（表44）。</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此外，</w:t>
      </w:r>
      <w:r w:rsidR="00EC0434">
        <w:rPr>
          <w:rFonts w:ascii="宋体" w:eastAsia="宋体" w:hAnsi="宋体" w:hint="eastAsia"/>
          <w:sz w:val="21"/>
          <w:szCs w:val="21"/>
        </w:rPr>
        <w:t>研究</w:t>
      </w:r>
      <w:r w:rsidRPr="005B4D1E">
        <w:rPr>
          <w:rFonts w:ascii="宋体" w:eastAsia="宋体" w:hAnsi="宋体" w:hint="eastAsia"/>
          <w:sz w:val="21"/>
          <w:szCs w:val="21"/>
        </w:rPr>
        <w:t>组在2010-2012年间，随机选择部分市县（表45、图57），在屠宰场开展定时定点监测，采集屠宰猪的组织样品（脾、肺、淋巴结），应用RT-PCR方法检测PRRSV病原。共检测组织样品2937份，结果PRRSV病原阳性124份，平均阳性率4.41%；其中，2010年阳性率为5.70%，2011年阳性率为4.37%，2012年阳性率为3.16%，3年间PRRSV病原阳性率稳步下降，下降了2.54个百分点（表46）。</w:t>
      </w:r>
    </w:p>
    <w:p w:rsidR="009D14A5" w:rsidRPr="005B4D1E" w:rsidRDefault="009D14A5" w:rsidP="005B4D1E">
      <w:pPr>
        <w:tabs>
          <w:tab w:val="left" w:pos="6519"/>
        </w:tabs>
        <w:wordWrap w:val="0"/>
        <w:spacing w:line="360" w:lineRule="auto"/>
        <w:ind w:firstLineChars="200" w:firstLine="420"/>
        <w:rPr>
          <w:rFonts w:ascii="宋体" w:eastAsia="宋体" w:hAnsi="宋体"/>
          <w:sz w:val="21"/>
          <w:szCs w:val="21"/>
        </w:rPr>
      </w:pPr>
      <w:r w:rsidRPr="005B4D1E">
        <w:rPr>
          <w:rFonts w:ascii="宋体" w:eastAsia="宋体" w:hAnsi="宋体" w:hint="eastAsia"/>
          <w:sz w:val="21"/>
          <w:szCs w:val="21"/>
        </w:rPr>
        <w:t>从临床病（死）猪组织样品、屠宰猪组织样品PRRSV病原检测发现，近年来由PRRSV所致的病（死）猪明显减少，屠宰猪健康带毒率明显下降，表明我区HP-PRRS防控取得明显成效。</w:t>
      </w:r>
    </w:p>
    <w:p w:rsidR="009D14A5" w:rsidRPr="005B4D1E" w:rsidRDefault="009D14A5" w:rsidP="00B03D18">
      <w:pPr>
        <w:pStyle w:val="a6"/>
        <w:spacing w:before="156"/>
      </w:pPr>
      <w:bookmarkStart w:id="122" w:name="_Toc405816447"/>
      <w:r w:rsidRPr="005B4D1E">
        <w:rPr>
          <w:rFonts w:hint="eastAsia"/>
        </w:rPr>
        <w:t>表</w:t>
      </w:r>
      <w:r w:rsidR="00B03D18">
        <w:rPr>
          <w:rFonts w:hint="eastAsia"/>
        </w:rPr>
        <w:t xml:space="preserve">44 </w:t>
      </w:r>
      <w:r w:rsidRPr="005B4D1E">
        <w:rPr>
          <w:rFonts w:hint="eastAsia"/>
        </w:rPr>
        <w:t>2007-2012</w:t>
      </w:r>
      <w:r w:rsidRPr="005B4D1E">
        <w:rPr>
          <w:rFonts w:hint="eastAsia"/>
        </w:rPr>
        <w:t>年临床样品</w:t>
      </w:r>
      <w:r w:rsidRPr="005B4D1E">
        <w:rPr>
          <w:rFonts w:hint="eastAsia"/>
        </w:rPr>
        <w:t>PRRSV RT-PCR</w:t>
      </w:r>
      <w:r w:rsidRPr="005B4D1E">
        <w:rPr>
          <w:rFonts w:hint="eastAsia"/>
        </w:rPr>
        <w:t>检测结果</w:t>
      </w:r>
      <w:bookmarkEnd w:id="122"/>
    </w:p>
    <w:p w:rsidR="009D14A5"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3536950" cy="1751330"/>
            <wp:effectExtent l="19050" t="0" r="635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
                    <pic:cNvPicPr>
                      <a:picLocks noChangeAspect="1" noChangeArrowheads="1"/>
                    </pic:cNvPicPr>
                  </pic:nvPicPr>
                  <pic:blipFill>
                    <a:blip r:embed="rId107" cstate="print"/>
                    <a:srcRect/>
                    <a:stretch>
                      <a:fillRect/>
                    </a:stretch>
                  </pic:blipFill>
                  <pic:spPr bwMode="auto">
                    <a:xfrm>
                      <a:off x="0" y="0"/>
                      <a:ext cx="3536950" cy="1751330"/>
                    </a:xfrm>
                    <a:prstGeom prst="rect">
                      <a:avLst/>
                    </a:prstGeom>
                    <a:noFill/>
                    <a:ln w="9525">
                      <a:noFill/>
                      <a:miter lim="800000"/>
                      <a:headEnd/>
                      <a:tailEnd/>
                    </a:ln>
                  </pic:spPr>
                </pic:pic>
              </a:graphicData>
            </a:graphic>
          </wp:inline>
        </w:drawing>
      </w:r>
    </w:p>
    <w:p w:rsidR="009D14A5" w:rsidRPr="005B4D1E" w:rsidRDefault="009D14A5" w:rsidP="00D76DF3">
      <w:pPr>
        <w:pStyle w:val="a6"/>
        <w:spacing w:before="156"/>
      </w:pPr>
      <w:bookmarkStart w:id="123" w:name="_Toc405816448"/>
      <w:r w:rsidRPr="005B4D1E">
        <w:rPr>
          <w:rFonts w:hint="eastAsia"/>
        </w:rPr>
        <w:t>表</w:t>
      </w:r>
      <w:r w:rsidR="00D76DF3">
        <w:rPr>
          <w:rFonts w:hint="eastAsia"/>
        </w:rPr>
        <w:t xml:space="preserve">45 </w:t>
      </w:r>
      <w:r w:rsidRPr="005B4D1E">
        <w:rPr>
          <w:rFonts w:hint="eastAsia"/>
        </w:rPr>
        <w:t>2010-2012</w:t>
      </w:r>
      <w:r w:rsidRPr="005B4D1E">
        <w:rPr>
          <w:rFonts w:hint="eastAsia"/>
        </w:rPr>
        <w:t>年广西屠宰场</w:t>
      </w:r>
      <w:r w:rsidRPr="005B4D1E">
        <w:rPr>
          <w:rFonts w:hint="eastAsia"/>
        </w:rPr>
        <w:t>PRRSV</w:t>
      </w:r>
      <w:r w:rsidRPr="005B4D1E">
        <w:rPr>
          <w:rFonts w:hint="eastAsia"/>
        </w:rPr>
        <w:t>监测地点分布</w:t>
      </w:r>
      <w:bookmarkEnd w:id="123"/>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5029200" cy="2769235"/>
            <wp:effectExtent l="19050" t="0" r="0" b="0"/>
            <wp:docPr id="99"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pic:cNvPicPr>
                      <a:picLocks noChangeAspect="1" noChangeArrowheads="1"/>
                    </pic:cNvPicPr>
                  </pic:nvPicPr>
                  <pic:blipFill>
                    <a:blip r:embed="rId108" cstate="print"/>
                    <a:srcRect/>
                    <a:stretch>
                      <a:fillRect/>
                    </a:stretch>
                  </pic:blipFill>
                  <pic:spPr bwMode="auto">
                    <a:xfrm>
                      <a:off x="0" y="0"/>
                      <a:ext cx="5029200" cy="2769235"/>
                    </a:xfrm>
                    <a:prstGeom prst="rect">
                      <a:avLst/>
                    </a:prstGeom>
                    <a:noFill/>
                    <a:ln w="9525">
                      <a:noFill/>
                      <a:miter lim="800000"/>
                      <a:headEnd/>
                      <a:tailEnd/>
                    </a:ln>
                  </pic:spPr>
                </pic:pic>
              </a:graphicData>
            </a:graphic>
          </wp:inline>
        </w:drawing>
      </w:r>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lastRenderedPageBreak/>
        <w:drawing>
          <wp:inline distT="0" distB="0" distL="0" distR="0">
            <wp:extent cx="3735070" cy="2933065"/>
            <wp:effectExtent l="19050" t="0" r="0" b="0"/>
            <wp:docPr id="100"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
                    <pic:cNvPicPr>
                      <a:picLocks noChangeAspect="1" noChangeArrowheads="1"/>
                    </pic:cNvPicPr>
                  </pic:nvPicPr>
                  <pic:blipFill>
                    <a:blip r:embed="rId109" cstate="print"/>
                    <a:srcRect/>
                    <a:stretch>
                      <a:fillRect/>
                    </a:stretch>
                  </pic:blipFill>
                  <pic:spPr bwMode="auto">
                    <a:xfrm>
                      <a:off x="0" y="0"/>
                      <a:ext cx="3735070" cy="2933065"/>
                    </a:xfrm>
                    <a:prstGeom prst="rect">
                      <a:avLst/>
                    </a:prstGeom>
                    <a:noFill/>
                    <a:ln w="9525">
                      <a:noFill/>
                      <a:miter lim="800000"/>
                      <a:headEnd/>
                      <a:tailEnd/>
                    </a:ln>
                  </pic:spPr>
                </pic:pic>
              </a:graphicData>
            </a:graphic>
          </wp:inline>
        </w:drawing>
      </w:r>
    </w:p>
    <w:p w:rsidR="009D14A5" w:rsidRPr="005B4D1E" w:rsidRDefault="009D14A5" w:rsidP="00D76DF3">
      <w:pPr>
        <w:pStyle w:val="a5"/>
        <w:spacing w:after="156"/>
      </w:pPr>
      <w:bookmarkStart w:id="124" w:name="_Toc405816361"/>
      <w:r w:rsidRPr="005B4D1E">
        <w:rPr>
          <w:rFonts w:hint="eastAsia"/>
        </w:rPr>
        <w:t>图</w:t>
      </w:r>
      <w:r w:rsidR="00D76DF3">
        <w:rPr>
          <w:rFonts w:hint="eastAsia"/>
        </w:rPr>
        <w:t xml:space="preserve">57 </w:t>
      </w:r>
      <w:r w:rsidRPr="005B4D1E">
        <w:rPr>
          <w:rFonts w:hint="eastAsia"/>
        </w:rPr>
        <w:t>用于</w:t>
      </w:r>
      <w:r w:rsidRPr="005B4D1E">
        <w:rPr>
          <w:rFonts w:hint="eastAsia"/>
        </w:rPr>
        <w:t>PRRSV</w:t>
      </w:r>
      <w:r w:rsidRPr="005B4D1E">
        <w:rPr>
          <w:rFonts w:hint="eastAsia"/>
        </w:rPr>
        <w:t>病原检测的屠宰场样品采集地点分布图（</w:t>
      </w:r>
      <w:r w:rsidRPr="005B4D1E">
        <w:rPr>
          <w:rFonts w:hint="eastAsia"/>
        </w:rPr>
        <w:t>2010-2012</w:t>
      </w:r>
      <w:r w:rsidRPr="005B4D1E">
        <w:rPr>
          <w:rFonts w:hint="eastAsia"/>
        </w:rPr>
        <w:t>年）</w:t>
      </w:r>
      <w:bookmarkEnd w:id="124"/>
    </w:p>
    <w:p w:rsidR="009D14A5" w:rsidRPr="005B4D1E" w:rsidRDefault="009D14A5" w:rsidP="009D14A5">
      <w:pPr>
        <w:tabs>
          <w:tab w:val="left" w:pos="6519"/>
        </w:tabs>
        <w:wordWrap w:val="0"/>
        <w:spacing w:line="360" w:lineRule="auto"/>
        <w:rPr>
          <w:rFonts w:ascii="宋体" w:eastAsia="宋体" w:hAnsi="宋体"/>
          <w:sz w:val="21"/>
          <w:szCs w:val="21"/>
        </w:rPr>
      </w:pPr>
    </w:p>
    <w:p w:rsidR="009D14A5" w:rsidRPr="005B4D1E" w:rsidRDefault="009D14A5" w:rsidP="00D76DF3">
      <w:pPr>
        <w:pStyle w:val="a6"/>
        <w:spacing w:before="156"/>
      </w:pPr>
      <w:bookmarkStart w:id="125" w:name="_Toc405816449"/>
      <w:r w:rsidRPr="005B4D1E">
        <w:rPr>
          <w:rFonts w:hint="eastAsia"/>
        </w:rPr>
        <w:t>表</w:t>
      </w:r>
      <w:r w:rsidR="00D76DF3">
        <w:rPr>
          <w:rFonts w:hint="eastAsia"/>
        </w:rPr>
        <w:t xml:space="preserve">46 </w:t>
      </w:r>
      <w:r w:rsidRPr="005B4D1E">
        <w:rPr>
          <w:rFonts w:hint="eastAsia"/>
        </w:rPr>
        <w:t>2007-2012</w:t>
      </w:r>
      <w:r w:rsidRPr="005B4D1E">
        <w:rPr>
          <w:rFonts w:hint="eastAsia"/>
        </w:rPr>
        <w:t>屠宰场样品</w:t>
      </w:r>
      <w:r w:rsidRPr="005B4D1E">
        <w:rPr>
          <w:rFonts w:hint="eastAsia"/>
        </w:rPr>
        <w:t>PRRSV RT-PCR</w:t>
      </w:r>
      <w:r w:rsidRPr="005B4D1E">
        <w:rPr>
          <w:rFonts w:hint="eastAsia"/>
        </w:rPr>
        <w:t>检测结果</w:t>
      </w:r>
      <w:bookmarkEnd w:id="125"/>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4209415" cy="1449070"/>
            <wp:effectExtent l="19050" t="0" r="635" b="0"/>
            <wp:docPr id="101"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
                    <pic:cNvPicPr>
                      <a:picLocks noChangeAspect="1" noChangeArrowheads="1"/>
                    </pic:cNvPicPr>
                  </pic:nvPicPr>
                  <pic:blipFill>
                    <a:blip r:embed="rId110" cstate="print"/>
                    <a:srcRect/>
                    <a:stretch>
                      <a:fillRect/>
                    </a:stretch>
                  </pic:blipFill>
                  <pic:spPr bwMode="auto">
                    <a:xfrm>
                      <a:off x="0" y="0"/>
                      <a:ext cx="4209415" cy="1449070"/>
                    </a:xfrm>
                    <a:prstGeom prst="rect">
                      <a:avLst/>
                    </a:prstGeom>
                    <a:noFill/>
                    <a:ln w="9525">
                      <a:noFill/>
                      <a:miter lim="800000"/>
                      <a:headEnd/>
                      <a:tailEnd/>
                    </a:ln>
                  </pic:spPr>
                </pic:pic>
              </a:graphicData>
            </a:graphic>
          </wp:inline>
        </w:drawing>
      </w:r>
    </w:p>
    <w:p w:rsidR="009D14A5" w:rsidRPr="005B4D1E" w:rsidRDefault="009D14A5" w:rsidP="00206742">
      <w:pPr>
        <w:pStyle w:val="2"/>
      </w:pPr>
      <w:bookmarkStart w:id="126" w:name="_Toc405816290"/>
      <w:r w:rsidRPr="005B4D1E">
        <w:rPr>
          <w:rFonts w:hint="eastAsia"/>
        </w:rPr>
        <w:t>猪蓝耳病临床流行病学调查与评估</w:t>
      </w:r>
      <w:bookmarkEnd w:id="126"/>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根据地理分布、生猪饲养量、基层工作基础等综合考虑，2007-2012年在全区14个市选择66个县（表47、图58），每个县随机选择3-5个规模场、2-3个行政村，采取入户调查、查阅档案、座谈咨询、实地查看等多种形式，对部分规模场、散养户开展猪蓝耳病流行病学调查。</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结果（表48），接受调查的1248个规模场（次）中，曾经发生过猪蓝耳病的有655个，占52.48%0从2007-2012年，发病猪场的比例逐年减少，从2007年的73.10%到2012年的33.81%，减少了39.29个百分点。开展调查的972个行政村（次），曾经发生过猪蓝耳病的有636个，占65.43%0从2007-2012年，发病行政村的比例也是逐年减少，从2007年的83.33%到2012年的41.98%，减少了41.35个百分点。</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lastRenderedPageBreak/>
        <w:t xml:space="preserve">    在接受调查的规模场和行政村中，2007-2012年按公猪、母猪、哺乳仔猪、断奶仔猪、育肥猪等类别统计，母猪发病率和死亡率最高，2007-2012年平均值分别为9.13%和2.88%：育肥猪发病率和死亡率最低，2007-2012年平均值分别为4.69%种1.61%。从2007年到2012年，所有类别的猪群发病率和死亡率均显著减少，公猪的发病率和死亡率减少了16.72和5.63个百分点、母猪的发病率和死亡率减少了18.38和6.49个百分点、哺乳仔猪的发病率和死亡率减少了12.07和6.72个百分点、断奶仔猪的发病率和死亡率减少了15.07和6.73个百分点、育肥猪的发病率和死亡率减少了11.28和4.05个百分点，可见母猪群下降最明显(表49)。2007年感染发病母猪的流产率多在20%-30%，甚至更高，此后逐年下降，至2012年多在5%-10%，下降了15%-20%，经测算，2007-2012年发病母猪流产率平均下降了大约15个百分点。</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在接受调查的规模场和行政村中，2007-2012年生猪饲养总数为6450508头，发病数为492811头，死亡头数为270623头，发病率为8.90%，死亡率为4.20%。从2007-2012年，猪群总体发病率、死亡率逐年减少，从2007年的18.27%、9.62%到2012年的3.61%、1.24%，分别减少了14.66和8.38个百分点。规模场与行政村猪群总体发病率、死亡率均在逐年减少，规模场以2007年的15.07%、7.85%到2012年的3.43%、1.15%，分别减少了11.64和6.70个百分点；行政村从2007年的20.74%、10.99%到2012年的3.81%、1.34%，分别减少了16.93和9.65个百分点；可见行政村比规模猪场下降明显（表50）。</w:t>
      </w:r>
    </w:p>
    <w:p w:rsidR="009D14A5" w:rsidRPr="005B4D1E" w:rsidRDefault="009D14A5" w:rsidP="005B4D1E">
      <w:pPr>
        <w:tabs>
          <w:tab w:val="left" w:pos="6519"/>
        </w:tabs>
        <w:wordWrap w:val="0"/>
        <w:spacing w:line="360" w:lineRule="auto"/>
        <w:ind w:firstLineChars="200" w:firstLine="420"/>
        <w:rPr>
          <w:rFonts w:ascii="宋体" w:eastAsia="宋体" w:hAnsi="宋体"/>
          <w:sz w:val="21"/>
          <w:szCs w:val="21"/>
        </w:rPr>
      </w:pPr>
      <w:r w:rsidRPr="005B4D1E">
        <w:rPr>
          <w:rFonts w:ascii="宋体" w:eastAsia="宋体" w:hAnsi="宋体" w:hint="eastAsia"/>
          <w:sz w:val="21"/>
          <w:szCs w:val="21"/>
        </w:rPr>
        <w:t>小结：2007-2012年在全区14个市选择66个县1248个规模猪场（次）、972个行政村（次），采取入户调查、查阅档案、座谈咨询、实地查看等多种形式，对部分规模场、散养户开展猪蓝耳病流行病学调查。结果，曾经发生过猪蓝耳病的规模猪场有655个，占52.48</w:t>
      </w:r>
      <w:r w:rsidRPr="005B4D1E">
        <w:rPr>
          <w:rFonts w:ascii="宋体" w:eastAsia="宋体" w:hAnsi="宋体" w:cs="Arial"/>
          <w:sz w:val="21"/>
          <w:szCs w:val="21"/>
        </w:rPr>
        <w:t>％</w:t>
      </w:r>
      <w:r w:rsidRPr="005B4D1E">
        <w:rPr>
          <w:rFonts w:ascii="宋体" w:eastAsia="宋体" w:hAnsi="宋体" w:hint="eastAsia"/>
          <w:sz w:val="21"/>
          <w:szCs w:val="21"/>
        </w:rPr>
        <w:t>，发病猪场的比例从2007年的73.10%到2012年的33.81%，减少了39.29个百分点；曾经发生过猪蓝耳病的行政村有636个，占65.43%，发病村的比例从2007年的83.33%到2012年的41.98%，减少了41.35个百分点。2007-2012年生猪饲养总数为6450508头，发病数为492811头，死亡头数为270623头，发病率为8.90%，死亡率为4.20%o从2007-2012年，猪群总体发病率、死亡率逐年减少，从2007年的18.27%、9.62%到2012年的3.61%、1.24%，分别减少了14.66和8.38个百分点。从部分规模猪场及行政村的临床流行病学调查结果，表明广西HP-PRRS的防控策略非常正确，防控效果非常明显。</w:t>
      </w:r>
    </w:p>
    <w:p w:rsidR="009D14A5" w:rsidRDefault="009D14A5" w:rsidP="005B4D1E">
      <w:pPr>
        <w:tabs>
          <w:tab w:val="left" w:pos="6519"/>
        </w:tabs>
        <w:wordWrap w:val="0"/>
        <w:spacing w:line="360" w:lineRule="auto"/>
        <w:ind w:firstLineChars="200" w:firstLine="420"/>
        <w:rPr>
          <w:rFonts w:ascii="宋体" w:eastAsia="宋体" w:hAnsi="宋体"/>
          <w:sz w:val="21"/>
          <w:szCs w:val="21"/>
        </w:rPr>
      </w:pPr>
    </w:p>
    <w:p w:rsidR="00D76DF3" w:rsidRDefault="00D76DF3" w:rsidP="005B4D1E">
      <w:pPr>
        <w:tabs>
          <w:tab w:val="left" w:pos="6519"/>
        </w:tabs>
        <w:wordWrap w:val="0"/>
        <w:spacing w:line="360" w:lineRule="auto"/>
        <w:ind w:firstLineChars="200" w:firstLine="420"/>
        <w:rPr>
          <w:rFonts w:ascii="宋体" w:eastAsia="宋体" w:hAnsi="宋体"/>
          <w:sz w:val="21"/>
          <w:szCs w:val="21"/>
        </w:rPr>
      </w:pPr>
    </w:p>
    <w:p w:rsidR="00D76DF3" w:rsidRDefault="00D76DF3" w:rsidP="005B4D1E">
      <w:pPr>
        <w:tabs>
          <w:tab w:val="left" w:pos="6519"/>
        </w:tabs>
        <w:wordWrap w:val="0"/>
        <w:spacing w:line="360" w:lineRule="auto"/>
        <w:ind w:firstLineChars="200" w:firstLine="420"/>
        <w:rPr>
          <w:rFonts w:ascii="宋体" w:eastAsia="宋体" w:hAnsi="宋体"/>
          <w:sz w:val="21"/>
          <w:szCs w:val="21"/>
        </w:rPr>
      </w:pPr>
    </w:p>
    <w:p w:rsidR="00D76DF3" w:rsidRPr="005B4D1E" w:rsidRDefault="00D76DF3" w:rsidP="005B4D1E">
      <w:pPr>
        <w:tabs>
          <w:tab w:val="left" w:pos="6519"/>
        </w:tabs>
        <w:wordWrap w:val="0"/>
        <w:spacing w:line="360" w:lineRule="auto"/>
        <w:ind w:firstLineChars="200" w:firstLine="420"/>
        <w:rPr>
          <w:rFonts w:ascii="宋体" w:eastAsia="宋体" w:hAnsi="宋体"/>
          <w:sz w:val="21"/>
          <w:szCs w:val="21"/>
        </w:rPr>
      </w:pPr>
    </w:p>
    <w:p w:rsidR="009D14A5" w:rsidRPr="005B4D1E" w:rsidRDefault="009D14A5" w:rsidP="00D76DF3">
      <w:pPr>
        <w:pStyle w:val="a6"/>
        <w:spacing w:before="156"/>
      </w:pPr>
      <w:bookmarkStart w:id="127" w:name="_Toc405816450"/>
      <w:r w:rsidRPr="005B4D1E">
        <w:rPr>
          <w:rFonts w:hint="eastAsia"/>
        </w:rPr>
        <w:lastRenderedPageBreak/>
        <w:t>表</w:t>
      </w:r>
      <w:r w:rsidR="00D76DF3">
        <w:rPr>
          <w:rFonts w:hint="eastAsia"/>
        </w:rPr>
        <w:t xml:space="preserve">47 </w:t>
      </w:r>
      <w:r w:rsidRPr="005B4D1E">
        <w:rPr>
          <w:rFonts w:hint="eastAsia"/>
        </w:rPr>
        <w:t>2007-2012</w:t>
      </w:r>
      <w:r w:rsidRPr="005B4D1E">
        <w:rPr>
          <w:rFonts w:hint="eastAsia"/>
        </w:rPr>
        <w:t>年开展猪蓝耳病流行病学调查的县（区、市）分布</w:t>
      </w:r>
      <w:bookmarkEnd w:id="127"/>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5227320" cy="4235450"/>
            <wp:effectExtent l="19050" t="0" r="0" b="0"/>
            <wp:docPr id="102"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
                    <pic:cNvPicPr>
                      <a:picLocks noChangeAspect="1" noChangeArrowheads="1"/>
                    </pic:cNvPicPr>
                  </pic:nvPicPr>
                  <pic:blipFill>
                    <a:blip r:embed="rId111" cstate="print"/>
                    <a:srcRect/>
                    <a:stretch>
                      <a:fillRect/>
                    </a:stretch>
                  </pic:blipFill>
                  <pic:spPr bwMode="auto">
                    <a:xfrm>
                      <a:off x="0" y="0"/>
                      <a:ext cx="5227320" cy="4235450"/>
                    </a:xfrm>
                    <a:prstGeom prst="rect">
                      <a:avLst/>
                    </a:prstGeom>
                    <a:noFill/>
                    <a:ln w="9525">
                      <a:noFill/>
                      <a:miter lim="800000"/>
                      <a:headEnd/>
                      <a:tailEnd/>
                    </a:ln>
                  </pic:spPr>
                </pic:pic>
              </a:graphicData>
            </a:graphic>
          </wp:inline>
        </w:drawing>
      </w:r>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4330700" cy="3597275"/>
            <wp:effectExtent l="19050" t="0" r="0" b="0"/>
            <wp:docPr id="103"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
                    <pic:cNvPicPr>
                      <a:picLocks noChangeAspect="1" noChangeArrowheads="1"/>
                    </pic:cNvPicPr>
                  </pic:nvPicPr>
                  <pic:blipFill>
                    <a:blip r:embed="rId112" cstate="print"/>
                    <a:srcRect/>
                    <a:stretch>
                      <a:fillRect/>
                    </a:stretch>
                  </pic:blipFill>
                  <pic:spPr bwMode="auto">
                    <a:xfrm>
                      <a:off x="0" y="0"/>
                      <a:ext cx="4330700" cy="3597275"/>
                    </a:xfrm>
                    <a:prstGeom prst="rect">
                      <a:avLst/>
                    </a:prstGeom>
                    <a:noFill/>
                    <a:ln w="9525">
                      <a:noFill/>
                      <a:miter lim="800000"/>
                      <a:headEnd/>
                      <a:tailEnd/>
                    </a:ln>
                  </pic:spPr>
                </pic:pic>
              </a:graphicData>
            </a:graphic>
          </wp:inline>
        </w:drawing>
      </w:r>
    </w:p>
    <w:p w:rsidR="009D14A5" w:rsidRPr="005B4D1E" w:rsidRDefault="009D14A5" w:rsidP="00D76DF3">
      <w:pPr>
        <w:pStyle w:val="a5"/>
        <w:spacing w:after="156"/>
      </w:pPr>
      <w:bookmarkStart w:id="128" w:name="_Toc405816362"/>
      <w:r w:rsidRPr="005B4D1E">
        <w:rPr>
          <w:rFonts w:hint="eastAsia"/>
        </w:rPr>
        <w:t>图</w:t>
      </w:r>
      <w:r w:rsidR="00D76DF3">
        <w:rPr>
          <w:rFonts w:hint="eastAsia"/>
        </w:rPr>
        <w:t xml:space="preserve">58 </w:t>
      </w:r>
      <w:r w:rsidRPr="005B4D1E">
        <w:rPr>
          <w:rFonts w:hint="eastAsia"/>
        </w:rPr>
        <w:t>广西猪蓝耳病流行病学调查地点分布图（</w:t>
      </w:r>
      <w:r w:rsidRPr="005B4D1E">
        <w:rPr>
          <w:rFonts w:hint="eastAsia"/>
        </w:rPr>
        <w:t>2007-2012</w:t>
      </w:r>
      <w:r w:rsidRPr="005B4D1E">
        <w:rPr>
          <w:rFonts w:hint="eastAsia"/>
        </w:rPr>
        <w:t>年）</w:t>
      </w:r>
      <w:bookmarkEnd w:id="128"/>
    </w:p>
    <w:p w:rsidR="009D14A5" w:rsidRPr="005B4D1E" w:rsidRDefault="009D14A5" w:rsidP="00D76DF3">
      <w:pPr>
        <w:pStyle w:val="a6"/>
        <w:spacing w:before="156"/>
      </w:pPr>
      <w:bookmarkStart w:id="129" w:name="_Toc405816451"/>
      <w:r w:rsidRPr="005B4D1E">
        <w:rPr>
          <w:rFonts w:hint="eastAsia"/>
        </w:rPr>
        <w:t>表</w:t>
      </w:r>
      <w:r w:rsidR="00D76DF3">
        <w:rPr>
          <w:rFonts w:hint="eastAsia"/>
        </w:rPr>
        <w:t xml:space="preserve">48 </w:t>
      </w:r>
      <w:r w:rsidRPr="005B4D1E">
        <w:rPr>
          <w:rFonts w:hint="eastAsia"/>
        </w:rPr>
        <w:t>2007-2012</w:t>
      </w:r>
      <w:r w:rsidRPr="005B4D1E">
        <w:rPr>
          <w:rFonts w:hint="eastAsia"/>
        </w:rPr>
        <w:t>年广西部分县猪蓝耳病调查结果</w:t>
      </w:r>
      <w:bookmarkEnd w:id="129"/>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lastRenderedPageBreak/>
        <w:drawing>
          <wp:inline distT="0" distB="0" distL="0" distR="0">
            <wp:extent cx="4942840" cy="2665730"/>
            <wp:effectExtent l="19050" t="0" r="0" b="0"/>
            <wp:docPr id="104"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
                    <pic:cNvPicPr>
                      <a:picLocks noChangeAspect="1" noChangeArrowheads="1"/>
                    </pic:cNvPicPr>
                  </pic:nvPicPr>
                  <pic:blipFill>
                    <a:blip r:embed="rId113" cstate="print"/>
                    <a:srcRect/>
                    <a:stretch>
                      <a:fillRect/>
                    </a:stretch>
                  </pic:blipFill>
                  <pic:spPr bwMode="auto">
                    <a:xfrm>
                      <a:off x="0" y="0"/>
                      <a:ext cx="4942840" cy="2665730"/>
                    </a:xfrm>
                    <a:prstGeom prst="rect">
                      <a:avLst/>
                    </a:prstGeom>
                    <a:noFill/>
                    <a:ln w="9525">
                      <a:noFill/>
                      <a:miter lim="800000"/>
                      <a:headEnd/>
                      <a:tailEnd/>
                    </a:ln>
                  </pic:spPr>
                </pic:pic>
              </a:graphicData>
            </a:graphic>
          </wp:inline>
        </w:drawing>
      </w:r>
    </w:p>
    <w:p w:rsidR="009D14A5" w:rsidRPr="005B4D1E" w:rsidRDefault="009D14A5" w:rsidP="009D14A5">
      <w:pPr>
        <w:tabs>
          <w:tab w:val="left" w:pos="6519"/>
        </w:tabs>
        <w:wordWrap w:val="0"/>
        <w:spacing w:line="360" w:lineRule="auto"/>
        <w:rPr>
          <w:rFonts w:ascii="宋体" w:eastAsia="宋体" w:hAnsi="宋体"/>
          <w:sz w:val="21"/>
          <w:szCs w:val="21"/>
        </w:rPr>
      </w:pPr>
    </w:p>
    <w:p w:rsidR="009D14A5" w:rsidRPr="005B4D1E" w:rsidRDefault="009D14A5" w:rsidP="00D76DF3">
      <w:pPr>
        <w:pStyle w:val="a6"/>
        <w:spacing w:before="156"/>
      </w:pPr>
      <w:bookmarkStart w:id="130" w:name="_Toc405816452"/>
      <w:r w:rsidRPr="005B4D1E">
        <w:rPr>
          <w:rFonts w:hint="eastAsia"/>
        </w:rPr>
        <w:t>表</w:t>
      </w:r>
      <w:r w:rsidR="00D76DF3">
        <w:rPr>
          <w:rFonts w:hint="eastAsia"/>
        </w:rPr>
        <w:t xml:space="preserve">49 </w:t>
      </w:r>
      <w:r w:rsidRPr="005B4D1E">
        <w:rPr>
          <w:rFonts w:hint="eastAsia"/>
        </w:rPr>
        <w:t>2007-2012</w:t>
      </w:r>
      <w:r w:rsidRPr="005B4D1E">
        <w:rPr>
          <w:rFonts w:hint="eastAsia"/>
        </w:rPr>
        <w:t>年不同日龄阶段猪群发病率及死亡率调查结果</w:t>
      </w:r>
      <w:bookmarkEnd w:id="130"/>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4149090" cy="5193030"/>
            <wp:effectExtent l="19050" t="0" r="3810" b="0"/>
            <wp:docPr id="105"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pic:cNvPicPr>
                      <a:picLocks noChangeAspect="1" noChangeArrowheads="1"/>
                    </pic:cNvPicPr>
                  </pic:nvPicPr>
                  <pic:blipFill>
                    <a:blip r:embed="rId114" cstate="print"/>
                    <a:srcRect/>
                    <a:stretch>
                      <a:fillRect/>
                    </a:stretch>
                  </pic:blipFill>
                  <pic:spPr bwMode="auto">
                    <a:xfrm>
                      <a:off x="0" y="0"/>
                      <a:ext cx="4149090" cy="5193030"/>
                    </a:xfrm>
                    <a:prstGeom prst="rect">
                      <a:avLst/>
                    </a:prstGeom>
                    <a:noFill/>
                    <a:ln w="9525">
                      <a:noFill/>
                      <a:miter lim="800000"/>
                      <a:headEnd/>
                      <a:tailEnd/>
                    </a:ln>
                  </pic:spPr>
                </pic:pic>
              </a:graphicData>
            </a:graphic>
          </wp:inline>
        </w:drawing>
      </w:r>
    </w:p>
    <w:p w:rsidR="009D14A5" w:rsidRPr="005B4D1E" w:rsidRDefault="009D14A5" w:rsidP="009D14A5">
      <w:pPr>
        <w:tabs>
          <w:tab w:val="left" w:pos="6519"/>
        </w:tabs>
        <w:wordWrap w:val="0"/>
        <w:spacing w:line="360" w:lineRule="auto"/>
        <w:rPr>
          <w:rFonts w:ascii="宋体" w:eastAsia="宋体" w:hAnsi="宋体"/>
          <w:sz w:val="21"/>
          <w:szCs w:val="21"/>
        </w:rPr>
      </w:pPr>
    </w:p>
    <w:p w:rsidR="009D14A5" w:rsidRPr="005B4D1E" w:rsidRDefault="009D14A5" w:rsidP="00D76DF3">
      <w:pPr>
        <w:pStyle w:val="a6"/>
        <w:spacing w:before="156"/>
      </w:pPr>
      <w:bookmarkStart w:id="131" w:name="_Toc405816453"/>
      <w:r w:rsidRPr="005B4D1E">
        <w:rPr>
          <w:rFonts w:hint="eastAsia"/>
        </w:rPr>
        <w:t>表</w:t>
      </w:r>
      <w:r w:rsidR="00D76DF3">
        <w:rPr>
          <w:rFonts w:hint="eastAsia"/>
        </w:rPr>
        <w:t xml:space="preserve">50 </w:t>
      </w:r>
      <w:r w:rsidRPr="005B4D1E">
        <w:rPr>
          <w:rFonts w:hint="eastAsia"/>
        </w:rPr>
        <w:t>2007-2012</w:t>
      </w:r>
      <w:r w:rsidRPr="005B4D1E">
        <w:rPr>
          <w:rFonts w:hint="eastAsia"/>
        </w:rPr>
        <w:t>年广西部分规模场及行政村猪蓝耳病调查结果</w:t>
      </w:r>
      <w:bookmarkEnd w:id="131"/>
    </w:p>
    <w:p w:rsidR="009D14A5" w:rsidRPr="005B4D1E" w:rsidRDefault="009D14A5" w:rsidP="009D14A5">
      <w:pPr>
        <w:tabs>
          <w:tab w:val="left" w:pos="6519"/>
        </w:tabs>
        <w:wordWrap w:val="0"/>
        <w:spacing w:line="360" w:lineRule="auto"/>
        <w:jc w:val="center"/>
        <w:rPr>
          <w:rFonts w:ascii="宋体" w:eastAsia="宋体" w:hAnsi="宋体"/>
          <w:sz w:val="21"/>
          <w:szCs w:val="21"/>
        </w:rPr>
      </w:pPr>
      <w:r w:rsidRPr="005B4D1E">
        <w:rPr>
          <w:rFonts w:ascii="宋体" w:eastAsia="宋体" w:hAnsi="宋体"/>
          <w:noProof/>
          <w:sz w:val="21"/>
          <w:szCs w:val="21"/>
        </w:rPr>
        <w:drawing>
          <wp:inline distT="0" distB="0" distL="0" distR="0">
            <wp:extent cx="4494530" cy="3605530"/>
            <wp:effectExtent l="19050" t="0" r="1270" b="0"/>
            <wp:docPr id="106"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7"/>
                    <pic:cNvPicPr>
                      <a:picLocks noChangeAspect="1" noChangeArrowheads="1"/>
                    </pic:cNvPicPr>
                  </pic:nvPicPr>
                  <pic:blipFill>
                    <a:blip r:embed="rId115" cstate="print"/>
                    <a:srcRect/>
                    <a:stretch>
                      <a:fillRect/>
                    </a:stretch>
                  </pic:blipFill>
                  <pic:spPr bwMode="auto">
                    <a:xfrm>
                      <a:off x="0" y="0"/>
                      <a:ext cx="4494530" cy="3605530"/>
                    </a:xfrm>
                    <a:prstGeom prst="rect">
                      <a:avLst/>
                    </a:prstGeom>
                    <a:noFill/>
                    <a:ln w="9525">
                      <a:noFill/>
                      <a:miter lim="800000"/>
                      <a:headEnd/>
                      <a:tailEnd/>
                    </a:ln>
                  </pic:spPr>
                </pic:pic>
              </a:graphicData>
            </a:graphic>
          </wp:inline>
        </w:drawing>
      </w:r>
    </w:p>
    <w:p w:rsidR="009D14A5" w:rsidRPr="005B4D1E" w:rsidRDefault="009D14A5" w:rsidP="009D14A5">
      <w:pPr>
        <w:tabs>
          <w:tab w:val="left" w:pos="6519"/>
        </w:tabs>
        <w:wordWrap w:val="0"/>
        <w:spacing w:line="360" w:lineRule="auto"/>
        <w:jc w:val="center"/>
        <w:rPr>
          <w:rFonts w:ascii="宋体" w:eastAsia="宋体" w:hAnsi="宋体"/>
          <w:sz w:val="21"/>
          <w:szCs w:val="21"/>
        </w:rPr>
      </w:pPr>
    </w:p>
    <w:p w:rsidR="009D14A5" w:rsidRPr="005B4D1E" w:rsidRDefault="00206742" w:rsidP="00206742">
      <w:pPr>
        <w:pStyle w:val="1"/>
      </w:pPr>
      <w:bookmarkStart w:id="132" w:name="_Toc405816291"/>
      <w:r>
        <w:rPr>
          <w:rFonts w:hint="eastAsia"/>
        </w:rPr>
        <w:t>结论</w:t>
      </w:r>
      <w:bookmarkEnd w:id="132"/>
    </w:p>
    <w:p w:rsidR="009D14A5" w:rsidRPr="00776808" w:rsidRDefault="00206742" w:rsidP="00206742">
      <w:pPr>
        <w:tabs>
          <w:tab w:val="left" w:pos="6519"/>
        </w:tabs>
        <w:kinsoku w:val="0"/>
        <w:wordWrap w:val="0"/>
        <w:spacing w:line="360" w:lineRule="auto"/>
        <w:ind w:left="432"/>
        <w:rPr>
          <w:rFonts w:ascii="宋体" w:eastAsia="宋体" w:hAnsi="宋体"/>
          <w:b/>
          <w:bCs/>
          <w:sz w:val="24"/>
          <w:szCs w:val="24"/>
        </w:rPr>
      </w:pPr>
      <w:r w:rsidRPr="00776808">
        <w:rPr>
          <w:rFonts w:ascii="宋体" w:eastAsia="宋体" w:hAnsi="宋体" w:hint="eastAsia"/>
          <w:b/>
          <w:bCs/>
          <w:sz w:val="24"/>
          <w:szCs w:val="24"/>
        </w:rPr>
        <w:t>研究</w:t>
      </w:r>
      <w:r w:rsidR="009D14A5" w:rsidRPr="00776808">
        <w:rPr>
          <w:rFonts w:ascii="宋体" w:eastAsia="宋体" w:hAnsi="宋体" w:hint="eastAsia"/>
          <w:b/>
          <w:bCs/>
          <w:sz w:val="24"/>
          <w:szCs w:val="24"/>
        </w:rPr>
        <w:t>创新点</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00206742">
        <w:rPr>
          <w:rFonts w:ascii="宋体" w:eastAsia="宋体" w:hAnsi="宋体" w:hint="eastAsia"/>
          <w:sz w:val="21"/>
          <w:szCs w:val="21"/>
        </w:rPr>
        <w:t>（</w:t>
      </w:r>
      <w:r w:rsidRPr="005B4D1E">
        <w:rPr>
          <w:rFonts w:ascii="宋体" w:eastAsia="宋体" w:hAnsi="宋体" w:hint="eastAsia"/>
          <w:sz w:val="21"/>
          <w:szCs w:val="21"/>
        </w:rPr>
        <w:t>1</w:t>
      </w:r>
      <w:r w:rsidR="00206742">
        <w:rPr>
          <w:rFonts w:ascii="宋体" w:eastAsia="宋体" w:hAnsi="宋体" w:hint="eastAsia"/>
          <w:sz w:val="21"/>
          <w:szCs w:val="21"/>
        </w:rPr>
        <w:t>）</w:t>
      </w:r>
      <w:r w:rsidRPr="005B4D1E">
        <w:rPr>
          <w:rFonts w:ascii="宋体" w:eastAsia="宋体" w:hAnsi="宋体" w:hint="eastAsia"/>
          <w:sz w:val="21"/>
          <w:szCs w:val="21"/>
        </w:rPr>
        <w:t>在国内首次建立了能同时检测猪瘟病毒及美洲型、欧洲型猪繁殖与呼吸综合征病毒的多重RT-PCR方法以及同时检测并区分PRRSV美洲型经典株、变异株及欧洲型毒株的多重荧光定量RT-PCR方法等2种PRRSV快速鉴别检测方法，并应用于临床样品的检测。</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00206742">
        <w:rPr>
          <w:rFonts w:ascii="宋体" w:eastAsia="宋体" w:hAnsi="宋体" w:hint="eastAsia"/>
          <w:sz w:val="21"/>
          <w:szCs w:val="21"/>
        </w:rPr>
        <w:t>（</w:t>
      </w:r>
      <w:r w:rsidRPr="005B4D1E">
        <w:rPr>
          <w:rFonts w:ascii="宋体" w:eastAsia="宋体" w:hAnsi="宋体" w:hint="eastAsia"/>
          <w:sz w:val="21"/>
          <w:szCs w:val="21"/>
        </w:rPr>
        <w:t>2</w:t>
      </w:r>
      <w:r w:rsidR="00206742">
        <w:rPr>
          <w:rFonts w:ascii="宋体" w:eastAsia="宋体" w:hAnsi="宋体" w:hint="eastAsia"/>
          <w:sz w:val="21"/>
          <w:szCs w:val="21"/>
        </w:rPr>
        <w:t>）</w:t>
      </w:r>
      <w:r w:rsidRPr="005B4D1E">
        <w:rPr>
          <w:rFonts w:ascii="宋体" w:eastAsia="宋体" w:hAnsi="宋体" w:hint="eastAsia"/>
          <w:sz w:val="21"/>
          <w:szCs w:val="21"/>
        </w:rPr>
        <w:t>在国内首次建立了猪Th1型细胞因子IL-2、IL-12p40、IFN-</w:t>
      </w:r>
      <w:r w:rsidRPr="005B4D1E">
        <w:rPr>
          <w:rFonts w:ascii="宋体" w:eastAsia="宋体" w:hAnsi="宋体"/>
          <w:sz w:val="21"/>
          <w:szCs w:val="21"/>
        </w:rPr>
        <w:t>γ</w:t>
      </w:r>
      <w:r w:rsidRPr="005B4D1E">
        <w:rPr>
          <w:rFonts w:ascii="宋体" w:eastAsia="宋体" w:hAnsi="宋体" w:hint="eastAsia"/>
          <w:sz w:val="21"/>
          <w:szCs w:val="21"/>
        </w:rPr>
        <w:t>、Th2型细胞因子IL-4、IL-6、IL-10以及凋亡细胞因子Fas、FasL、TNFR1、TNF-</w:t>
      </w:r>
      <w:r w:rsidRPr="005B4D1E">
        <w:rPr>
          <w:rFonts w:ascii="宋体" w:eastAsia="宋体" w:hAnsi="宋体" w:cs="Arial"/>
          <w:sz w:val="21"/>
          <w:szCs w:val="21"/>
        </w:rPr>
        <w:t>α</w:t>
      </w:r>
      <w:r w:rsidRPr="005B4D1E">
        <w:rPr>
          <w:rFonts w:ascii="宋体" w:eastAsia="宋体" w:hAnsi="宋体" w:hint="eastAsia"/>
          <w:sz w:val="21"/>
          <w:szCs w:val="21"/>
        </w:rPr>
        <w:t>的SYBR Green I real-time RT-PCR方法，并应用于检测PRRSV感染仔猪PBMC中上述细胞因子mRNA的表达水平。</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00206742">
        <w:rPr>
          <w:rFonts w:ascii="宋体" w:eastAsia="宋体" w:hAnsi="宋体" w:hint="eastAsia"/>
          <w:sz w:val="21"/>
          <w:szCs w:val="21"/>
        </w:rPr>
        <w:t>（</w:t>
      </w:r>
      <w:r w:rsidRPr="005B4D1E">
        <w:rPr>
          <w:rFonts w:ascii="宋体" w:eastAsia="宋体" w:hAnsi="宋体" w:hint="eastAsia"/>
          <w:sz w:val="21"/>
          <w:szCs w:val="21"/>
        </w:rPr>
        <w:t>3</w:t>
      </w:r>
      <w:r w:rsidR="00206742">
        <w:rPr>
          <w:rFonts w:ascii="宋体" w:eastAsia="宋体" w:hAnsi="宋体" w:hint="eastAsia"/>
          <w:sz w:val="21"/>
          <w:szCs w:val="21"/>
        </w:rPr>
        <w:t>）</w:t>
      </w:r>
      <w:r w:rsidRPr="005B4D1E">
        <w:rPr>
          <w:rFonts w:ascii="宋体" w:eastAsia="宋体" w:hAnsi="宋体" w:hint="eastAsia"/>
          <w:sz w:val="21"/>
          <w:szCs w:val="21"/>
        </w:rPr>
        <w:t>同时基于PRRSV的Nsp2、ORF5、ORF7编码区，在国内首次系统开展广西HP-PRRSV分子流行病学研究，明确了当前广西PRRSV流行毒株的基因型及优势基因亚群。在国内首次分离鉴定了HP-PRRSV广西地方分离株，并对3个分离株的全基因组分子特征进行分析。</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00206742">
        <w:rPr>
          <w:rFonts w:ascii="宋体" w:eastAsia="宋体" w:hAnsi="宋体" w:hint="eastAsia"/>
          <w:sz w:val="21"/>
          <w:szCs w:val="21"/>
        </w:rPr>
        <w:t>（</w:t>
      </w:r>
      <w:r w:rsidRPr="005B4D1E">
        <w:rPr>
          <w:rFonts w:ascii="宋体" w:eastAsia="宋体" w:hAnsi="宋体" w:hint="eastAsia"/>
          <w:sz w:val="21"/>
          <w:szCs w:val="21"/>
        </w:rPr>
        <w:t>4</w:t>
      </w:r>
      <w:r w:rsidR="00206742">
        <w:rPr>
          <w:rFonts w:ascii="宋体" w:eastAsia="宋体" w:hAnsi="宋体" w:hint="eastAsia"/>
          <w:sz w:val="21"/>
          <w:szCs w:val="21"/>
        </w:rPr>
        <w:t>）</w:t>
      </w:r>
      <w:r w:rsidRPr="005B4D1E">
        <w:rPr>
          <w:rFonts w:ascii="宋体" w:eastAsia="宋体" w:hAnsi="宋体" w:hint="eastAsia"/>
          <w:sz w:val="21"/>
          <w:szCs w:val="21"/>
        </w:rPr>
        <w:t>在国内首次研究在免疫压力下HP-PRRSV田间流行毒株的遗传进化情况，发现PRRSV流行毒株Nsp2、ORF5、ORF6、ORF7基因中，Nsp2基因最容易发生变异，其次是ORF5基</w:t>
      </w:r>
      <w:r w:rsidRPr="005B4D1E">
        <w:rPr>
          <w:rFonts w:ascii="宋体" w:eastAsia="宋体" w:hAnsi="宋体" w:hint="eastAsia"/>
          <w:sz w:val="21"/>
          <w:szCs w:val="21"/>
        </w:rPr>
        <w:lastRenderedPageBreak/>
        <w:t>因，然后是ORF7基因，而ORF6基因最稳定；免疫猪场中PRRSV流行毒株Nsp2、ORF5、ORF6、ORF7基因的进化速率高于非免疫猪场中PRRSV流行毒株相应基因的进化速率。</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00206742">
        <w:rPr>
          <w:rFonts w:ascii="宋体" w:eastAsia="宋体" w:hAnsi="宋体" w:hint="eastAsia"/>
          <w:sz w:val="21"/>
          <w:szCs w:val="21"/>
        </w:rPr>
        <w:t>（</w:t>
      </w:r>
      <w:r w:rsidRPr="005B4D1E">
        <w:rPr>
          <w:rFonts w:ascii="宋体" w:eastAsia="宋体" w:hAnsi="宋体" w:hint="eastAsia"/>
          <w:sz w:val="21"/>
          <w:szCs w:val="21"/>
        </w:rPr>
        <w:t>5</w:t>
      </w:r>
      <w:r w:rsidR="00206742">
        <w:rPr>
          <w:rFonts w:ascii="宋体" w:eastAsia="宋体" w:hAnsi="宋体" w:hint="eastAsia"/>
          <w:sz w:val="21"/>
          <w:szCs w:val="21"/>
        </w:rPr>
        <w:t>）</w:t>
      </w:r>
      <w:r w:rsidRPr="005B4D1E">
        <w:rPr>
          <w:rFonts w:ascii="宋体" w:eastAsia="宋体" w:hAnsi="宋体" w:hint="eastAsia"/>
          <w:sz w:val="21"/>
          <w:szCs w:val="21"/>
        </w:rPr>
        <w:t>制定了“猪繁殖与呼吸综合征病毒和猪瘟病毒的检测  多重反转录聚合酶链反应法”以及“猪繁殖与呼吸综合征病毒美洲型及欧洲型毒株的检测 多重荧光定量反转录聚合酶链反应法”等2项广西地方标准。这是国内首次将能同时检测并区分PRRSV美洲型经典株、变异株及欧洲型毒株的多重RT-PCR方法及多重荧光定量RT-PCR方法归纳、总结并制定成省级推荐性地方标准。</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w:t>
      </w:r>
      <w:r w:rsidR="00206742">
        <w:rPr>
          <w:rFonts w:ascii="宋体" w:eastAsia="宋体" w:hAnsi="宋体" w:hint="eastAsia"/>
          <w:sz w:val="21"/>
          <w:szCs w:val="21"/>
        </w:rPr>
        <w:t>（</w:t>
      </w:r>
      <w:r w:rsidRPr="005B4D1E">
        <w:rPr>
          <w:rFonts w:ascii="宋体" w:eastAsia="宋体" w:hAnsi="宋体" w:hint="eastAsia"/>
          <w:sz w:val="21"/>
          <w:szCs w:val="21"/>
        </w:rPr>
        <w:t>6</w:t>
      </w:r>
      <w:r w:rsidR="00206742">
        <w:rPr>
          <w:rFonts w:ascii="宋体" w:eastAsia="宋体" w:hAnsi="宋体" w:hint="eastAsia"/>
          <w:sz w:val="21"/>
          <w:szCs w:val="21"/>
        </w:rPr>
        <w:t>）</w:t>
      </w:r>
      <w:r w:rsidRPr="005B4D1E">
        <w:rPr>
          <w:rFonts w:ascii="宋体" w:eastAsia="宋体" w:hAnsi="宋体" w:hint="eastAsia"/>
          <w:sz w:val="21"/>
          <w:szCs w:val="21"/>
        </w:rPr>
        <w:t>以规模场、散养户、屠宰场为样本来源，采取抗体效价检测、病原学监测、流行病学调查等多种手段，从多层次、多角度、全方位探索建立并完善了高致病性猪蓝耳病综合防控效果评价体系。</w:t>
      </w:r>
    </w:p>
    <w:p w:rsidR="009D14A5" w:rsidRPr="00776808" w:rsidRDefault="009D14A5" w:rsidP="00206742">
      <w:pPr>
        <w:tabs>
          <w:tab w:val="left" w:pos="6519"/>
        </w:tabs>
        <w:wordWrap w:val="0"/>
        <w:spacing w:line="360" w:lineRule="auto"/>
        <w:rPr>
          <w:rFonts w:ascii="宋体" w:eastAsia="宋体" w:hAnsi="宋体"/>
          <w:b/>
          <w:bCs/>
          <w:sz w:val="24"/>
          <w:szCs w:val="24"/>
        </w:rPr>
      </w:pPr>
      <w:r w:rsidRPr="005B4D1E">
        <w:rPr>
          <w:rFonts w:ascii="宋体" w:eastAsia="宋体" w:hAnsi="宋体" w:hint="eastAsia"/>
          <w:b/>
          <w:bCs/>
          <w:sz w:val="21"/>
          <w:szCs w:val="21"/>
        </w:rPr>
        <w:t xml:space="preserve">    </w:t>
      </w:r>
      <w:r w:rsidRPr="00776808">
        <w:rPr>
          <w:rFonts w:ascii="宋体" w:eastAsia="宋体" w:hAnsi="宋体" w:hint="eastAsia"/>
          <w:b/>
          <w:bCs/>
          <w:sz w:val="24"/>
          <w:szCs w:val="24"/>
        </w:rPr>
        <w:t>推广应用前景</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我国是世界畜牧业大国，每年生猪存栏和出栏数达到4.6亿头和6.1亿头。广西是养猪大省，饲养量排在全国第6位，2012年饲养量为5800万头，出栏量为3350万头，产值650亿元。2006年以来，HP-PRRS给我国养猪业造成重大的经济损失，已被列为一类疫病，强化对该病的防控，对保障我区畜牧业持续、稳定、健康发展具有重要意义。本</w:t>
      </w:r>
      <w:r w:rsidR="00EC0434">
        <w:rPr>
          <w:rFonts w:ascii="宋体" w:eastAsia="宋体" w:hAnsi="宋体" w:hint="eastAsia"/>
          <w:sz w:val="21"/>
          <w:szCs w:val="21"/>
        </w:rPr>
        <w:t>研究</w:t>
      </w:r>
      <w:r w:rsidRPr="005B4D1E">
        <w:rPr>
          <w:rFonts w:ascii="宋体" w:eastAsia="宋体" w:hAnsi="宋体" w:hint="eastAsia"/>
          <w:sz w:val="21"/>
          <w:szCs w:val="21"/>
        </w:rPr>
        <w:t>成功建立了3种PRRSV快速检测技术，制定了2项广西地方标准，为PRRSV的快速鉴别诊断提供了有效的技术平台；开展了PRRSV分子流行病学调查，掌握了我区PRRSV流行毒株基因型及其优势基因亚群，分析了不同疫苗种类、不同免疫程序对免疫效果的影响，为正确选择疫苗及制定免疫程序提供了翔实的基础数据；开展了抗体监测与评估、病原监测与评估、流行病学调查与评估，为猪蓝耳病的防控效果提供了科学依据。本研究成果丰硕，总体达到国内同类研究的领先水平，可在广西乃至全国广泛使用，推广应用前景十分广阔。</w:t>
      </w:r>
    </w:p>
    <w:p w:rsidR="009D14A5" w:rsidRPr="00776808" w:rsidRDefault="009D14A5" w:rsidP="009D14A5">
      <w:pPr>
        <w:tabs>
          <w:tab w:val="left" w:pos="6519"/>
        </w:tabs>
        <w:wordWrap w:val="0"/>
        <w:spacing w:line="360" w:lineRule="auto"/>
        <w:rPr>
          <w:rFonts w:ascii="宋体" w:eastAsia="宋体" w:hAnsi="宋体"/>
          <w:b/>
          <w:bCs/>
          <w:sz w:val="24"/>
          <w:szCs w:val="24"/>
        </w:rPr>
      </w:pPr>
      <w:r w:rsidRPr="005B4D1E">
        <w:rPr>
          <w:rFonts w:ascii="宋体" w:eastAsia="宋体" w:hAnsi="宋体" w:hint="eastAsia"/>
          <w:b/>
          <w:bCs/>
          <w:sz w:val="21"/>
          <w:szCs w:val="21"/>
        </w:rPr>
        <w:t xml:space="preserve">    </w:t>
      </w:r>
      <w:r w:rsidRPr="00776808">
        <w:rPr>
          <w:rFonts w:ascii="宋体" w:eastAsia="宋体" w:hAnsi="宋体" w:hint="eastAsia"/>
          <w:b/>
          <w:bCs/>
          <w:sz w:val="24"/>
          <w:szCs w:val="24"/>
        </w:rPr>
        <w:t>存在的主要问题及建议</w:t>
      </w:r>
    </w:p>
    <w:p w:rsidR="009D14A5" w:rsidRPr="005B4D1E" w:rsidRDefault="009D14A5" w:rsidP="009D14A5">
      <w:pPr>
        <w:tabs>
          <w:tab w:val="left" w:pos="6519"/>
        </w:tabs>
        <w:wordWrap w:val="0"/>
        <w:spacing w:line="360" w:lineRule="auto"/>
        <w:rPr>
          <w:rFonts w:ascii="宋体" w:eastAsia="宋体" w:hAnsi="宋体"/>
          <w:b/>
          <w:sz w:val="21"/>
          <w:szCs w:val="21"/>
        </w:rPr>
      </w:pPr>
      <w:r w:rsidRPr="005B4D1E">
        <w:rPr>
          <w:rFonts w:ascii="宋体" w:eastAsia="宋体" w:hAnsi="宋体" w:hint="eastAsia"/>
          <w:sz w:val="21"/>
          <w:szCs w:val="21"/>
        </w:rPr>
        <w:t xml:space="preserve">    </w:t>
      </w:r>
      <w:r w:rsidR="00206742">
        <w:rPr>
          <w:rFonts w:ascii="宋体" w:eastAsia="宋体" w:hAnsi="宋体" w:hint="eastAsia"/>
          <w:sz w:val="21"/>
          <w:szCs w:val="21"/>
        </w:rPr>
        <w:t>（</w:t>
      </w:r>
      <w:r w:rsidRPr="005B4D1E">
        <w:rPr>
          <w:rFonts w:ascii="宋体" w:eastAsia="宋体" w:hAnsi="宋体" w:hint="eastAsia"/>
          <w:b/>
          <w:sz w:val="21"/>
          <w:szCs w:val="21"/>
        </w:rPr>
        <w:t>1</w:t>
      </w:r>
      <w:r w:rsidR="00206742">
        <w:rPr>
          <w:rFonts w:ascii="宋体" w:eastAsia="宋体" w:hAnsi="宋体" w:hint="eastAsia"/>
          <w:b/>
          <w:sz w:val="21"/>
          <w:szCs w:val="21"/>
        </w:rPr>
        <w:t>）</w:t>
      </w:r>
      <w:r w:rsidRPr="005B4D1E">
        <w:rPr>
          <w:rFonts w:ascii="宋体" w:eastAsia="宋体" w:hAnsi="宋体" w:hint="eastAsia"/>
          <w:b/>
          <w:sz w:val="21"/>
          <w:szCs w:val="21"/>
        </w:rPr>
        <w:t>PRRSV流行毒株的多样性及变异性对快速诊断的影响</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迄今，世界上所有PRRSV毒株可以分为两种基因型，即以VR-2332株为代表的美洲型毒株和以LV株为代表的欧洲型毒株，美洲型毒株与欧洲型毒株之间基因组差异很大，其核苷酸序列的同源性仅为60%左右，并且美洲型毒株之间、欧洲型毒株之间基因组亦存在较大的遗传变异，这种变异通过基因突变、缺失、插入以及毒株之间的基因重组还在持续加大之中。这种情况使得在设计引物和探针时必须考虑所选择的基因区域是否已经发生变异，如果发生变异，原来设计的引物和探针就有可能不再扩增和检出，导致已经建立的病原快速检测方法</w:t>
      </w:r>
      <w:r w:rsidRPr="005B4D1E">
        <w:rPr>
          <w:rFonts w:ascii="宋体" w:eastAsia="宋体" w:hAnsi="宋体" w:hint="eastAsia"/>
          <w:sz w:val="21"/>
          <w:szCs w:val="21"/>
        </w:rPr>
        <w:lastRenderedPageBreak/>
        <w:t>不再适合检测已经发生变异的病原。应及时开展PRRSV分子流行病学调查，追踪病原的变异情况，适时调整和设计引物和探针，以便准确检测病原。</w:t>
      </w:r>
    </w:p>
    <w:p w:rsidR="009D14A5" w:rsidRPr="005B4D1E" w:rsidRDefault="009D14A5" w:rsidP="009D14A5">
      <w:pPr>
        <w:tabs>
          <w:tab w:val="left" w:pos="6519"/>
        </w:tabs>
        <w:wordWrap w:val="0"/>
        <w:spacing w:line="360" w:lineRule="auto"/>
        <w:rPr>
          <w:rFonts w:ascii="宋体" w:eastAsia="宋体" w:hAnsi="宋体"/>
          <w:b/>
          <w:sz w:val="21"/>
          <w:szCs w:val="21"/>
        </w:rPr>
      </w:pPr>
      <w:r w:rsidRPr="005B4D1E">
        <w:rPr>
          <w:rFonts w:ascii="宋体" w:eastAsia="宋体" w:hAnsi="宋体" w:hint="eastAsia"/>
          <w:sz w:val="21"/>
          <w:szCs w:val="21"/>
        </w:rPr>
        <w:t xml:space="preserve">    </w:t>
      </w:r>
      <w:r w:rsidR="00206742">
        <w:rPr>
          <w:rFonts w:ascii="宋体" w:eastAsia="宋体" w:hAnsi="宋体" w:hint="eastAsia"/>
          <w:sz w:val="21"/>
          <w:szCs w:val="21"/>
        </w:rPr>
        <w:t>（</w:t>
      </w:r>
      <w:r w:rsidRPr="005B4D1E">
        <w:rPr>
          <w:rFonts w:ascii="宋体" w:eastAsia="宋体" w:hAnsi="宋体" w:hint="eastAsia"/>
          <w:b/>
          <w:sz w:val="21"/>
          <w:szCs w:val="21"/>
        </w:rPr>
        <w:t>2</w:t>
      </w:r>
      <w:r w:rsidR="00206742">
        <w:rPr>
          <w:rFonts w:ascii="宋体" w:eastAsia="宋体" w:hAnsi="宋体" w:hint="eastAsia"/>
          <w:b/>
          <w:sz w:val="21"/>
          <w:szCs w:val="21"/>
        </w:rPr>
        <w:t>）</w:t>
      </w:r>
      <w:r w:rsidRPr="005B4D1E">
        <w:rPr>
          <w:rFonts w:ascii="宋体" w:eastAsia="宋体" w:hAnsi="宋体" w:hint="eastAsia"/>
          <w:b/>
          <w:sz w:val="21"/>
          <w:szCs w:val="21"/>
        </w:rPr>
        <w:t>PRRSV流行毒株的多样性及变异性对疫苗免疫效果的影响</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就国内而言，PRRSV流行毒株日益复杂，美洲型传统毒株、HP-PRRSV以及欧洲型毒株在临床上均有存在和流行，以美洲型HP-PRRSV为当前国内的优势流行毒株，并且近年来各地分离到的HP-PRRSV毒株还在不断发生新的变异，出现大量具有不同变异特点的流行毒株。虽然PRRSV美洲型经典株疫苗及变异株疫苗具有较高的交叉保护作用，但还是存在差异，特别是美洲型及欧洲型毒株之间的交叉保护力较低，这种情况使得临床上选择疫苗时面临挑战，甚至在选择变异毒株疫苗时也面临选择哪个弱毒疫苗株的困惑。应加强临床监测，准确掌握流行毒株及其优势基因亚群，有针对性地选择疫苗毒株及种类，以便提高免疫效果。</w:t>
      </w:r>
    </w:p>
    <w:p w:rsidR="009D14A5" w:rsidRPr="005B4D1E" w:rsidRDefault="009D14A5" w:rsidP="009D14A5">
      <w:pPr>
        <w:tabs>
          <w:tab w:val="left" w:pos="6519"/>
        </w:tabs>
        <w:wordWrap w:val="0"/>
        <w:spacing w:line="360" w:lineRule="auto"/>
        <w:rPr>
          <w:rFonts w:ascii="宋体" w:eastAsia="宋体" w:hAnsi="宋体"/>
          <w:b/>
          <w:sz w:val="21"/>
          <w:szCs w:val="21"/>
        </w:rPr>
      </w:pPr>
      <w:r w:rsidRPr="005B4D1E">
        <w:rPr>
          <w:rFonts w:ascii="宋体" w:eastAsia="宋体" w:hAnsi="宋体" w:hint="eastAsia"/>
          <w:sz w:val="21"/>
          <w:szCs w:val="21"/>
        </w:rPr>
        <w:t xml:space="preserve">    </w:t>
      </w:r>
      <w:r w:rsidR="00206742">
        <w:rPr>
          <w:rFonts w:ascii="宋体" w:eastAsia="宋体" w:hAnsi="宋体" w:hint="eastAsia"/>
          <w:sz w:val="21"/>
          <w:szCs w:val="21"/>
        </w:rPr>
        <w:t>（</w:t>
      </w:r>
      <w:r w:rsidRPr="005B4D1E">
        <w:rPr>
          <w:rFonts w:ascii="宋体" w:eastAsia="宋体" w:hAnsi="宋体" w:hint="eastAsia"/>
          <w:b/>
          <w:sz w:val="21"/>
          <w:szCs w:val="21"/>
        </w:rPr>
        <w:t>3</w:t>
      </w:r>
      <w:r w:rsidR="00206742">
        <w:rPr>
          <w:rFonts w:ascii="宋体" w:eastAsia="宋体" w:hAnsi="宋体" w:hint="eastAsia"/>
          <w:b/>
          <w:sz w:val="21"/>
          <w:szCs w:val="21"/>
        </w:rPr>
        <w:t>）</w:t>
      </w:r>
      <w:r w:rsidRPr="005B4D1E">
        <w:rPr>
          <w:rFonts w:ascii="宋体" w:eastAsia="宋体" w:hAnsi="宋体" w:hint="eastAsia"/>
          <w:b/>
          <w:sz w:val="21"/>
          <w:szCs w:val="21"/>
        </w:rPr>
        <w:t>PRRSV免疫反应特点对疫苗免疫效果评估的影响</w:t>
      </w:r>
    </w:p>
    <w:p w:rsidR="009D14A5" w:rsidRPr="005B4D1E" w:rsidRDefault="009D14A5" w:rsidP="009D14A5">
      <w:pPr>
        <w:tabs>
          <w:tab w:val="left" w:pos="6519"/>
        </w:tabs>
        <w:wordWrap w:val="0"/>
        <w:spacing w:line="360" w:lineRule="auto"/>
        <w:rPr>
          <w:rFonts w:ascii="宋体" w:eastAsia="宋体" w:hAnsi="宋体"/>
          <w:sz w:val="21"/>
          <w:szCs w:val="21"/>
        </w:rPr>
      </w:pPr>
      <w:r w:rsidRPr="005B4D1E">
        <w:rPr>
          <w:rFonts w:ascii="宋体" w:eastAsia="宋体" w:hAnsi="宋体" w:hint="eastAsia"/>
          <w:sz w:val="21"/>
          <w:szCs w:val="21"/>
        </w:rPr>
        <w:t xml:space="preserve">    动物机体感染PRRSV后可以激发细胞免疫和体液免疫反应，以细胞免疫反应为主。在临床上可以发现，猪群经过疫苗免疫后获得了对PRRSV的抵抗力，但抗体阳性率较低。这种情况给通过检测抗体效价来评估疫苗免疫效果带来影响。当前，按照农业部的要求，猪群免疫弱毒疫苗28天后，采用LSI公司ELISA试剂盒检测，抗体IRPC&gt;20为合格，存栏猪免疫抗体合格率</w:t>
      </w:r>
      <w:r w:rsidRPr="005B4D1E">
        <w:rPr>
          <w:rFonts w:ascii="宋体" w:eastAsia="宋体" w:hAnsi="宋体" w:cs="Arial"/>
          <w:sz w:val="21"/>
          <w:szCs w:val="21"/>
        </w:rPr>
        <w:t>≥</w:t>
      </w:r>
      <w:r w:rsidRPr="005B4D1E">
        <w:rPr>
          <w:rFonts w:ascii="宋体" w:eastAsia="宋体" w:hAnsi="宋体" w:hint="eastAsia"/>
          <w:sz w:val="21"/>
          <w:szCs w:val="21"/>
        </w:rPr>
        <w:t>70%时即为群体免疫合格，但对灭活疫苗的免疫效果则没有统一的评判标准，这给临床上的疫苗免疫效果评估带来困难。当前，市面上PRRSV经典株弱毒疫苗、变异株灭活苗、弱毒苗同时存在、同时使用，如何通过抗体检测来评估疫苗免疫效果，还有待破解。应进一步加强免疫机理及检测方法的研究，争取建立评估疫苗免疫效果的一整套技术方法，为有效防控该病提供理论知识和基础数据。</w:t>
      </w:r>
    </w:p>
    <w:p w:rsidR="00666BE9" w:rsidRDefault="00666BE9"/>
    <w:sectPr w:rsidR="00666BE9" w:rsidSect="00EC0434">
      <w:pgSz w:w="11906" w:h="16838"/>
      <w:pgMar w:top="1440" w:right="1800" w:bottom="1440" w:left="1800" w:header="851" w:footer="992" w:gutter="0"/>
      <w:pgNumType w:start="1"/>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7441D" w:rsidRDefault="0087441D" w:rsidP="00EC0434">
      <w:pPr>
        <w:spacing w:after="0"/>
      </w:pPr>
      <w:r>
        <w:separator/>
      </w:r>
    </w:p>
  </w:endnote>
  <w:endnote w:type="continuationSeparator" w:id="0">
    <w:p w:rsidR="0087441D" w:rsidRDefault="0087441D" w:rsidP="00EC043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Arial Unicode MS"/>
    <w:panose1 w:val="02010609030101010101"/>
    <w:charset w:val="86"/>
    <w:family w:val="modern"/>
    <w:pitch w:val="fixed"/>
    <w:sig w:usb0="00000001" w:usb1="080E0000" w:usb2="00000010" w:usb3="00000000" w:csb0="00040000" w:csb1="00000000"/>
  </w:font>
  <w:font w:name="楷体_GB2312">
    <w:charset w:val="86"/>
    <w:family w:val="modern"/>
    <w:pitch w:val="fixed"/>
    <w:sig w:usb0="00000001" w:usb1="080E0000" w:usb2="00000010" w:usb3="00000000" w:csb0="0004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4546" w:rsidRDefault="00FB4546" w:rsidP="00B03D18">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Pr>
        <w:rStyle w:val="a8"/>
        <w:noProof/>
      </w:rPr>
      <w:t>100</w:t>
    </w:r>
    <w:r>
      <w:rPr>
        <w:rStyle w:val="a8"/>
      </w:rPr>
      <w:fldChar w:fldCharType="end"/>
    </w:r>
  </w:p>
  <w:p w:rsidR="00FB4546" w:rsidRDefault="00FB4546">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290485"/>
      <w:docPartObj>
        <w:docPartGallery w:val="Page Numbers (Bottom of Page)"/>
        <w:docPartUnique/>
      </w:docPartObj>
    </w:sdtPr>
    <w:sdtContent>
      <w:p w:rsidR="00FB4546" w:rsidRDefault="00FB4546">
        <w:pPr>
          <w:pStyle w:val="a7"/>
          <w:jc w:val="center"/>
        </w:pPr>
        <w:fldSimple w:instr=" PAGE   \* MERGEFORMAT ">
          <w:r w:rsidR="00776808" w:rsidRPr="00776808">
            <w:rPr>
              <w:noProof/>
              <w:lang w:val="zh-CN"/>
            </w:rPr>
            <w:t>II</w:t>
          </w:r>
        </w:fldSimple>
      </w:p>
    </w:sdtContent>
  </w:sdt>
  <w:p w:rsidR="00FB4546" w:rsidRDefault="00FB4546">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7441D" w:rsidRDefault="0087441D" w:rsidP="00EC0434">
      <w:pPr>
        <w:spacing w:after="0"/>
      </w:pPr>
      <w:r>
        <w:separator/>
      </w:r>
    </w:p>
  </w:footnote>
  <w:footnote w:type="continuationSeparator" w:id="0">
    <w:p w:rsidR="0087441D" w:rsidRDefault="0087441D" w:rsidP="00EC0434">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8922BBC"/>
    <w:multiLevelType w:val="multilevel"/>
    <w:tmpl w:val="04090025"/>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rPr>
    </w:lvl>
    <w:lvl w:ilvl="2">
      <w:start w:val="1"/>
      <w:numFmt w:val="decimal"/>
      <w:pStyle w:val="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nsid w:val="31C477BC"/>
    <w:multiLevelType w:val="multilevel"/>
    <w:tmpl w:val="5BE6F510"/>
    <w:lvl w:ilvl="0">
      <w:start w:val="1"/>
      <w:numFmt w:val="decimal"/>
      <w:lvlText w:val="%1"/>
      <w:lvlJc w:val="left"/>
      <w:pPr>
        <w:ind w:left="425" w:hanging="425"/>
      </w:pPr>
      <w:rPr>
        <w:rFonts w:ascii="Times New Roman" w:hAnsi="Times New Roman" w:hint="default"/>
      </w:rPr>
    </w:lvl>
    <w:lvl w:ilvl="1">
      <w:start w:val="1"/>
      <w:numFmt w:val="decimal"/>
      <w:lvlText w:val="%1.%2"/>
      <w:lvlJc w:val="left"/>
      <w:pPr>
        <w:ind w:left="567" w:hanging="567"/>
      </w:pPr>
      <w:rPr>
        <w:rFonts w:ascii="Times New Roman" w:hAnsi="Times New Roman" w:hint="default"/>
      </w:rPr>
    </w:lvl>
    <w:lvl w:ilvl="2">
      <w:start w:val="1"/>
      <w:numFmt w:val="decimal"/>
      <w:lvlText w:val="%1.%2.%3"/>
      <w:lvlJc w:val="left"/>
      <w:pPr>
        <w:ind w:left="709" w:hanging="709"/>
      </w:pPr>
      <w:rPr>
        <w:rFonts w:ascii="Times New Roman" w:hAnsi="Times New Roman" w:hint="default"/>
      </w:rPr>
    </w:lvl>
    <w:lvl w:ilvl="3">
      <w:start w:val="1"/>
      <w:numFmt w:val="decimal"/>
      <w:lvlText w:val="%1.%2.%3.%4"/>
      <w:lvlJc w:val="left"/>
      <w:pPr>
        <w:ind w:left="851" w:hanging="851"/>
      </w:pPr>
      <w:rPr>
        <w:rFonts w:ascii="Times New Roman" w:hAnsi="Times New Roman" w:hint="default"/>
      </w:rPr>
    </w:lvl>
    <w:lvl w:ilvl="4">
      <w:start w:val="1"/>
      <w:numFmt w:val="none"/>
      <w:lvlText w:val=""/>
      <w:lvlJc w:val="left"/>
      <w:pPr>
        <w:ind w:left="420" w:hanging="420"/>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num w:numId="1">
    <w:abstractNumId w:val="1"/>
  </w:num>
  <w:num w:numId="2">
    <w:abstractNumId w:val="1"/>
  </w:num>
  <w:num w:numId="3">
    <w:abstractNumId w:val="1"/>
  </w:num>
  <w:num w:numId="4">
    <w:abstractNumId w:val="1"/>
  </w:num>
  <w:num w:numId="5">
    <w:abstractNumId w:val="1"/>
  </w:num>
  <w:num w:numId="6">
    <w:abstractNumId w:val="1"/>
  </w:num>
  <w:num w:numId="7">
    <w:abstractNumId w:val="1"/>
  </w:num>
  <w:num w:numId="8">
    <w:abstractNumId w:val="0"/>
  </w:num>
  <w:num w:numId="9">
    <w:abstractNumId w:val="0"/>
  </w:num>
  <w:num w:numId="10">
    <w:abstractNumId w:val="0"/>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hideSpellingErrors/>
  <w:stylePaneFormatFilter w:val="3F04"/>
  <w:defaultTabStop w:val="420"/>
  <w:drawingGridVerticalSpacing w:val="156"/>
  <w:displayHorizontalDrawingGridEvery w:val="0"/>
  <w:displayVerticalDrawingGridEvery w:val="2"/>
  <w:characterSpacingControl w:val="compressPunctuation"/>
  <w:hdrShapeDefaults>
    <o:shapedefaults v:ext="edit" spidmax="921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9D14A5"/>
    <w:rsid w:val="0000104B"/>
    <w:rsid w:val="00002B52"/>
    <w:rsid w:val="000049E0"/>
    <w:rsid w:val="00005455"/>
    <w:rsid w:val="00005634"/>
    <w:rsid w:val="0000688D"/>
    <w:rsid w:val="00007AFB"/>
    <w:rsid w:val="00011660"/>
    <w:rsid w:val="00012492"/>
    <w:rsid w:val="00017B55"/>
    <w:rsid w:val="000202F4"/>
    <w:rsid w:val="00025022"/>
    <w:rsid w:val="000254B4"/>
    <w:rsid w:val="00031DB0"/>
    <w:rsid w:val="00033BF2"/>
    <w:rsid w:val="000353AB"/>
    <w:rsid w:val="00036132"/>
    <w:rsid w:val="00040DBA"/>
    <w:rsid w:val="0004406D"/>
    <w:rsid w:val="00045718"/>
    <w:rsid w:val="00045813"/>
    <w:rsid w:val="00045D22"/>
    <w:rsid w:val="000465E9"/>
    <w:rsid w:val="00053280"/>
    <w:rsid w:val="00054CDE"/>
    <w:rsid w:val="00055FEC"/>
    <w:rsid w:val="000604B8"/>
    <w:rsid w:val="00060CF4"/>
    <w:rsid w:val="00061B01"/>
    <w:rsid w:val="00065ABA"/>
    <w:rsid w:val="000732E3"/>
    <w:rsid w:val="00075E51"/>
    <w:rsid w:val="00083E10"/>
    <w:rsid w:val="00087256"/>
    <w:rsid w:val="0009115C"/>
    <w:rsid w:val="00096CAE"/>
    <w:rsid w:val="000A2CBC"/>
    <w:rsid w:val="000A36FB"/>
    <w:rsid w:val="000A3E47"/>
    <w:rsid w:val="000A42D9"/>
    <w:rsid w:val="000A58D0"/>
    <w:rsid w:val="000B1095"/>
    <w:rsid w:val="000B2C89"/>
    <w:rsid w:val="000B36E1"/>
    <w:rsid w:val="000B3E36"/>
    <w:rsid w:val="000B49FD"/>
    <w:rsid w:val="000B4E72"/>
    <w:rsid w:val="000B7650"/>
    <w:rsid w:val="000C0F59"/>
    <w:rsid w:val="000C185D"/>
    <w:rsid w:val="000C5005"/>
    <w:rsid w:val="000C6816"/>
    <w:rsid w:val="000C7170"/>
    <w:rsid w:val="000D49B5"/>
    <w:rsid w:val="000E116C"/>
    <w:rsid w:val="000E58B4"/>
    <w:rsid w:val="000E7C8E"/>
    <w:rsid w:val="000F162A"/>
    <w:rsid w:val="000F28D3"/>
    <w:rsid w:val="000F7134"/>
    <w:rsid w:val="0010101E"/>
    <w:rsid w:val="00106E61"/>
    <w:rsid w:val="0011069E"/>
    <w:rsid w:val="001172D4"/>
    <w:rsid w:val="0012078F"/>
    <w:rsid w:val="00120F68"/>
    <w:rsid w:val="00126289"/>
    <w:rsid w:val="00132A20"/>
    <w:rsid w:val="00134961"/>
    <w:rsid w:val="00136E3D"/>
    <w:rsid w:val="0013729B"/>
    <w:rsid w:val="001404D0"/>
    <w:rsid w:val="00143972"/>
    <w:rsid w:val="001466E9"/>
    <w:rsid w:val="00151133"/>
    <w:rsid w:val="00151B6C"/>
    <w:rsid w:val="00152B78"/>
    <w:rsid w:val="00155157"/>
    <w:rsid w:val="001555A3"/>
    <w:rsid w:val="0015580B"/>
    <w:rsid w:val="00162276"/>
    <w:rsid w:val="00162832"/>
    <w:rsid w:val="00163ACE"/>
    <w:rsid w:val="00167BB2"/>
    <w:rsid w:val="00170425"/>
    <w:rsid w:val="00170718"/>
    <w:rsid w:val="00170F76"/>
    <w:rsid w:val="00173FC9"/>
    <w:rsid w:val="001768BC"/>
    <w:rsid w:val="00176F96"/>
    <w:rsid w:val="00187510"/>
    <w:rsid w:val="001875DD"/>
    <w:rsid w:val="00190DBE"/>
    <w:rsid w:val="0019137A"/>
    <w:rsid w:val="00193B29"/>
    <w:rsid w:val="001942AE"/>
    <w:rsid w:val="0019457D"/>
    <w:rsid w:val="00196C22"/>
    <w:rsid w:val="001972CD"/>
    <w:rsid w:val="001A115C"/>
    <w:rsid w:val="001A30D5"/>
    <w:rsid w:val="001A4FB4"/>
    <w:rsid w:val="001A7A69"/>
    <w:rsid w:val="001A7AE1"/>
    <w:rsid w:val="001A7D84"/>
    <w:rsid w:val="001B1AE5"/>
    <w:rsid w:val="001B4429"/>
    <w:rsid w:val="001B698E"/>
    <w:rsid w:val="001B76E1"/>
    <w:rsid w:val="001C280A"/>
    <w:rsid w:val="001C2D48"/>
    <w:rsid w:val="001C35CB"/>
    <w:rsid w:val="001D1CF9"/>
    <w:rsid w:val="001D1FC0"/>
    <w:rsid w:val="001D3313"/>
    <w:rsid w:val="001E2259"/>
    <w:rsid w:val="001E4F3A"/>
    <w:rsid w:val="001E7AD1"/>
    <w:rsid w:val="001E7FE9"/>
    <w:rsid w:val="001F12F1"/>
    <w:rsid w:val="001F296A"/>
    <w:rsid w:val="00206742"/>
    <w:rsid w:val="00207FBD"/>
    <w:rsid w:val="002129C3"/>
    <w:rsid w:val="00221277"/>
    <w:rsid w:val="00223B98"/>
    <w:rsid w:val="0023232F"/>
    <w:rsid w:val="0023415A"/>
    <w:rsid w:val="002358AB"/>
    <w:rsid w:val="002415F9"/>
    <w:rsid w:val="0024186E"/>
    <w:rsid w:val="00246B36"/>
    <w:rsid w:val="00247948"/>
    <w:rsid w:val="002500C8"/>
    <w:rsid w:val="00254DB1"/>
    <w:rsid w:val="0025596D"/>
    <w:rsid w:val="00256AB0"/>
    <w:rsid w:val="00262077"/>
    <w:rsid w:val="0026353A"/>
    <w:rsid w:val="00264F9F"/>
    <w:rsid w:val="00265A93"/>
    <w:rsid w:val="00266A99"/>
    <w:rsid w:val="00267B6F"/>
    <w:rsid w:val="00272173"/>
    <w:rsid w:val="00275D5B"/>
    <w:rsid w:val="002833EB"/>
    <w:rsid w:val="00283C01"/>
    <w:rsid w:val="00285B7C"/>
    <w:rsid w:val="00290050"/>
    <w:rsid w:val="002967B3"/>
    <w:rsid w:val="00297978"/>
    <w:rsid w:val="00297DB7"/>
    <w:rsid w:val="002A0CA1"/>
    <w:rsid w:val="002A3B9D"/>
    <w:rsid w:val="002A4747"/>
    <w:rsid w:val="002A6EBF"/>
    <w:rsid w:val="002A7D0D"/>
    <w:rsid w:val="002B31E9"/>
    <w:rsid w:val="002B357B"/>
    <w:rsid w:val="002B4B3E"/>
    <w:rsid w:val="002B7374"/>
    <w:rsid w:val="002B7896"/>
    <w:rsid w:val="002C024D"/>
    <w:rsid w:val="002C0D5C"/>
    <w:rsid w:val="002C1D04"/>
    <w:rsid w:val="002C4371"/>
    <w:rsid w:val="002C4974"/>
    <w:rsid w:val="002C7FBF"/>
    <w:rsid w:val="002D1072"/>
    <w:rsid w:val="002E575C"/>
    <w:rsid w:val="002F0F17"/>
    <w:rsid w:val="002F15F0"/>
    <w:rsid w:val="002F174E"/>
    <w:rsid w:val="002F4F16"/>
    <w:rsid w:val="002F6358"/>
    <w:rsid w:val="00300024"/>
    <w:rsid w:val="00303A00"/>
    <w:rsid w:val="00303EB8"/>
    <w:rsid w:val="00304929"/>
    <w:rsid w:val="00310342"/>
    <w:rsid w:val="00311865"/>
    <w:rsid w:val="00314459"/>
    <w:rsid w:val="00314BE7"/>
    <w:rsid w:val="00314C91"/>
    <w:rsid w:val="00317861"/>
    <w:rsid w:val="00322885"/>
    <w:rsid w:val="003245C3"/>
    <w:rsid w:val="003246F0"/>
    <w:rsid w:val="003253F0"/>
    <w:rsid w:val="00325F81"/>
    <w:rsid w:val="00326857"/>
    <w:rsid w:val="0032695C"/>
    <w:rsid w:val="00326C4C"/>
    <w:rsid w:val="00326D5F"/>
    <w:rsid w:val="0033004C"/>
    <w:rsid w:val="003300F5"/>
    <w:rsid w:val="00330636"/>
    <w:rsid w:val="003307C2"/>
    <w:rsid w:val="003315FC"/>
    <w:rsid w:val="00332F94"/>
    <w:rsid w:val="00336361"/>
    <w:rsid w:val="00340285"/>
    <w:rsid w:val="00342DA6"/>
    <w:rsid w:val="00343404"/>
    <w:rsid w:val="00343A4F"/>
    <w:rsid w:val="00347EAE"/>
    <w:rsid w:val="003534FF"/>
    <w:rsid w:val="00365E65"/>
    <w:rsid w:val="003661DF"/>
    <w:rsid w:val="00373CC7"/>
    <w:rsid w:val="003801F9"/>
    <w:rsid w:val="0038034B"/>
    <w:rsid w:val="0039504D"/>
    <w:rsid w:val="003A2F3D"/>
    <w:rsid w:val="003A40A7"/>
    <w:rsid w:val="003A4F5C"/>
    <w:rsid w:val="003B0360"/>
    <w:rsid w:val="003B20D5"/>
    <w:rsid w:val="003B48AF"/>
    <w:rsid w:val="003B5278"/>
    <w:rsid w:val="003B596F"/>
    <w:rsid w:val="003B684B"/>
    <w:rsid w:val="003B7316"/>
    <w:rsid w:val="003B735C"/>
    <w:rsid w:val="003B7C9E"/>
    <w:rsid w:val="003C5FA8"/>
    <w:rsid w:val="003D1552"/>
    <w:rsid w:val="003D30D2"/>
    <w:rsid w:val="003E37FA"/>
    <w:rsid w:val="003F2B05"/>
    <w:rsid w:val="003F4878"/>
    <w:rsid w:val="003F547F"/>
    <w:rsid w:val="00403BA9"/>
    <w:rsid w:val="00407B63"/>
    <w:rsid w:val="00412B08"/>
    <w:rsid w:val="00413000"/>
    <w:rsid w:val="00413CB6"/>
    <w:rsid w:val="004164BA"/>
    <w:rsid w:val="004205E5"/>
    <w:rsid w:val="0042203E"/>
    <w:rsid w:val="004235FD"/>
    <w:rsid w:val="00424B3B"/>
    <w:rsid w:val="00431116"/>
    <w:rsid w:val="004313C6"/>
    <w:rsid w:val="00432B93"/>
    <w:rsid w:val="00435328"/>
    <w:rsid w:val="0043654F"/>
    <w:rsid w:val="00436D22"/>
    <w:rsid w:val="004431D7"/>
    <w:rsid w:val="004472AA"/>
    <w:rsid w:val="00453DAB"/>
    <w:rsid w:val="00460893"/>
    <w:rsid w:val="00471D43"/>
    <w:rsid w:val="00475B49"/>
    <w:rsid w:val="00475BC3"/>
    <w:rsid w:val="00475ECA"/>
    <w:rsid w:val="00477EED"/>
    <w:rsid w:val="0048099D"/>
    <w:rsid w:val="00480BBB"/>
    <w:rsid w:val="0048178C"/>
    <w:rsid w:val="00483F63"/>
    <w:rsid w:val="0049024A"/>
    <w:rsid w:val="00490744"/>
    <w:rsid w:val="004948EE"/>
    <w:rsid w:val="004950CF"/>
    <w:rsid w:val="004951E0"/>
    <w:rsid w:val="004A0BCF"/>
    <w:rsid w:val="004A17AA"/>
    <w:rsid w:val="004A4B42"/>
    <w:rsid w:val="004A739D"/>
    <w:rsid w:val="004A741E"/>
    <w:rsid w:val="004B669A"/>
    <w:rsid w:val="004C0B1C"/>
    <w:rsid w:val="004C0C86"/>
    <w:rsid w:val="004C5BF4"/>
    <w:rsid w:val="004C6EA6"/>
    <w:rsid w:val="004C7903"/>
    <w:rsid w:val="004D3C86"/>
    <w:rsid w:val="004D44F3"/>
    <w:rsid w:val="004D6E23"/>
    <w:rsid w:val="004E2D6E"/>
    <w:rsid w:val="004E3F82"/>
    <w:rsid w:val="004E7DB8"/>
    <w:rsid w:val="004F0BDA"/>
    <w:rsid w:val="004F2D5F"/>
    <w:rsid w:val="004F6B32"/>
    <w:rsid w:val="005032E7"/>
    <w:rsid w:val="0050701F"/>
    <w:rsid w:val="0050735C"/>
    <w:rsid w:val="0051038C"/>
    <w:rsid w:val="00511122"/>
    <w:rsid w:val="00514411"/>
    <w:rsid w:val="005145F2"/>
    <w:rsid w:val="00517ABB"/>
    <w:rsid w:val="00520E65"/>
    <w:rsid w:val="00524220"/>
    <w:rsid w:val="005300C0"/>
    <w:rsid w:val="005349CC"/>
    <w:rsid w:val="005368D7"/>
    <w:rsid w:val="00536B63"/>
    <w:rsid w:val="0054079E"/>
    <w:rsid w:val="0054353F"/>
    <w:rsid w:val="00555926"/>
    <w:rsid w:val="00556249"/>
    <w:rsid w:val="00557E46"/>
    <w:rsid w:val="005640E2"/>
    <w:rsid w:val="00567A55"/>
    <w:rsid w:val="00573881"/>
    <w:rsid w:val="00574254"/>
    <w:rsid w:val="00574845"/>
    <w:rsid w:val="00575900"/>
    <w:rsid w:val="005772E5"/>
    <w:rsid w:val="005828A4"/>
    <w:rsid w:val="005862AA"/>
    <w:rsid w:val="0058710F"/>
    <w:rsid w:val="00587808"/>
    <w:rsid w:val="00592F98"/>
    <w:rsid w:val="005951E2"/>
    <w:rsid w:val="00595A35"/>
    <w:rsid w:val="00596EC7"/>
    <w:rsid w:val="005970CA"/>
    <w:rsid w:val="00597476"/>
    <w:rsid w:val="005A2FD7"/>
    <w:rsid w:val="005A4299"/>
    <w:rsid w:val="005B0C92"/>
    <w:rsid w:val="005B37DD"/>
    <w:rsid w:val="005B4D1E"/>
    <w:rsid w:val="005B5601"/>
    <w:rsid w:val="005B6DC7"/>
    <w:rsid w:val="005C19D8"/>
    <w:rsid w:val="005C2C19"/>
    <w:rsid w:val="005C724D"/>
    <w:rsid w:val="005C773C"/>
    <w:rsid w:val="005D2779"/>
    <w:rsid w:val="005D7AAD"/>
    <w:rsid w:val="005F00ED"/>
    <w:rsid w:val="005F06FB"/>
    <w:rsid w:val="005F0F6B"/>
    <w:rsid w:val="005F1DB1"/>
    <w:rsid w:val="005F42C2"/>
    <w:rsid w:val="005F4964"/>
    <w:rsid w:val="005F7925"/>
    <w:rsid w:val="006002A4"/>
    <w:rsid w:val="0060091B"/>
    <w:rsid w:val="00601517"/>
    <w:rsid w:val="00602157"/>
    <w:rsid w:val="00602B49"/>
    <w:rsid w:val="006032D1"/>
    <w:rsid w:val="0060458C"/>
    <w:rsid w:val="00605545"/>
    <w:rsid w:val="006074E8"/>
    <w:rsid w:val="006079BB"/>
    <w:rsid w:val="00610924"/>
    <w:rsid w:val="00611D7E"/>
    <w:rsid w:val="006224EA"/>
    <w:rsid w:val="00622ED5"/>
    <w:rsid w:val="0062407E"/>
    <w:rsid w:val="00626104"/>
    <w:rsid w:val="006304B9"/>
    <w:rsid w:val="00630AE1"/>
    <w:rsid w:val="00630C6D"/>
    <w:rsid w:val="006327F2"/>
    <w:rsid w:val="00633D67"/>
    <w:rsid w:val="00641FE7"/>
    <w:rsid w:val="006454FB"/>
    <w:rsid w:val="00647B86"/>
    <w:rsid w:val="006516AB"/>
    <w:rsid w:val="0065334D"/>
    <w:rsid w:val="0065720F"/>
    <w:rsid w:val="006608EE"/>
    <w:rsid w:val="0066154A"/>
    <w:rsid w:val="00662055"/>
    <w:rsid w:val="006631E4"/>
    <w:rsid w:val="00666BC6"/>
    <w:rsid w:val="00666BE9"/>
    <w:rsid w:val="00666E2E"/>
    <w:rsid w:val="006674D3"/>
    <w:rsid w:val="006701A0"/>
    <w:rsid w:val="006703DB"/>
    <w:rsid w:val="006719B7"/>
    <w:rsid w:val="00673533"/>
    <w:rsid w:val="00673F81"/>
    <w:rsid w:val="00676819"/>
    <w:rsid w:val="006823C8"/>
    <w:rsid w:val="00684BF8"/>
    <w:rsid w:val="006868F9"/>
    <w:rsid w:val="00692194"/>
    <w:rsid w:val="00694544"/>
    <w:rsid w:val="006B20E7"/>
    <w:rsid w:val="006C1A5F"/>
    <w:rsid w:val="006C44CA"/>
    <w:rsid w:val="006D0BEC"/>
    <w:rsid w:val="006D2031"/>
    <w:rsid w:val="006D23E2"/>
    <w:rsid w:val="006D3686"/>
    <w:rsid w:val="006D6D76"/>
    <w:rsid w:val="006E05F7"/>
    <w:rsid w:val="006E17F8"/>
    <w:rsid w:val="006E40A4"/>
    <w:rsid w:val="006F0E60"/>
    <w:rsid w:val="006F0E7D"/>
    <w:rsid w:val="006F6ECF"/>
    <w:rsid w:val="0070113F"/>
    <w:rsid w:val="00704D1C"/>
    <w:rsid w:val="00710B32"/>
    <w:rsid w:val="00711A9B"/>
    <w:rsid w:val="00714255"/>
    <w:rsid w:val="0071538A"/>
    <w:rsid w:val="00716BBD"/>
    <w:rsid w:val="007221D7"/>
    <w:rsid w:val="007222E0"/>
    <w:rsid w:val="00726892"/>
    <w:rsid w:val="007337F2"/>
    <w:rsid w:val="00736153"/>
    <w:rsid w:val="00736C35"/>
    <w:rsid w:val="00741B4F"/>
    <w:rsid w:val="00742F13"/>
    <w:rsid w:val="0074378B"/>
    <w:rsid w:val="007471C8"/>
    <w:rsid w:val="00751228"/>
    <w:rsid w:val="00751BAE"/>
    <w:rsid w:val="00753369"/>
    <w:rsid w:val="007536A6"/>
    <w:rsid w:val="00755375"/>
    <w:rsid w:val="00761961"/>
    <w:rsid w:val="0076338B"/>
    <w:rsid w:val="0076381F"/>
    <w:rsid w:val="00764BF7"/>
    <w:rsid w:val="00765207"/>
    <w:rsid w:val="007677A5"/>
    <w:rsid w:val="00773C21"/>
    <w:rsid w:val="00774AD4"/>
    <w:rsid w:val="00776808"/>
    <w:rsid w:val="00781327"/>
    <w:rsid w:val="00784BE4"/>
    <w:rsid w:val="00784D4B"/>
    <w:rsid w:val="00787B2A"/>
    <w:rsid w:val="00790617"/>
    <w:rsid w:val="00790EF7"/>
    <w:rsid w:val="007916CB"/>
    <w:rsid w:val="00791C8F"/>
    <w:rsid w:val="0079557D"/>
    <w:rsid w:val="007971A3"/>
    <w:rsid w:val="007A45A0"/>
    <w:rsid w:val="007B5776"/>
    <w:rsid w:val="007B5E3E"/>
    <w:rsid w:val="007C521B"/>
    <w:rsid w:val="007C6577"/>
    <w:rsid w:val="007C6D51"/>
    <w:rsid w:val="007D7F03"/>
    <w:rsid w:val="007E0FD6"/>
    <w:rsid w:val="007E3356"/>
    <w:rsid w:val="007F0EB2"/>
    <w:rsid w:val="007F1D7F"/>
    <w:rsid w:val="007F3708"/>
    <w:rsid w:val="007F7403"/>
    <w:rsid w:val="00803620"/>
    <w:rsid w:val="00803CDB"/>
    <w:rsid w:val="008057FF"/>
    <w:rsid w:val="00810C33"/>
    <w:rsid w:val="00815DB2"/>
    <w:rsid w:val="00817D28"/>
    <w:rsid w:val="00817D51"/>
    <w:rsid w:val="00820677"/>
    <w:rsid w:val="0082294A"/>
    <w:rsid w:val="00832894"/>
    <w:rsid w:val="00833354"/>
    <w:rsid w:val="00834643"/>
    <w:rsid w:val="00840B94"/>
    <w:rsid w:val="00845ADC"/>
    <w:rsid w:val="00852BB3"/>
    <w:rsid w:val="008560FB"/>
    <w:rsid w:val="0086008B"/>
    <w:rsid w:val="00860B6A"/>
    <w:rsid w:val="0086177D"/>
    <w:rsid w:val="00862C74"/>
    <w:rsid w:val="0086447C"/>
    <w:rsid w:val="00866C60"/>
    <w:rsid w:val="008700ED"/>
    <w:rsid w:val="00872F47"/>
    <w:rsid w:val="0087362F"/>
    <w:rsid w:val="00874318"/>
    <w:rsid w:val="0087441D"/>
    <w:rsid w:val="00874A9E"/>
    <w:rsid w:val="00877171"/>
    <w:rsid w:val="00881F25"/>
    <w:rsid w:val="00882401"/>
    <w:rsid w:val="00882610"/>
    <w:rsid w:val="0088468D"/>
    <w:rsid w:val="00886BDC"/>
    <w:rsid w:val="0088798F"/>
    <w:rsid w:val="00896830"/>
    <w:rsid w:val="00896F31"/>
    <w:rsid w:val="008A1694"/>
    <w:rsid w:val="008A1773"/>
    <w:rsid w:val="008A4781"/>
    <w:rsid w:val="008A58AC"/>
    <w:rsid w:val="008B1AB6"/>
    <w:rsid w:val="008B6155"/>
    <w:rsid w:val="008B7D15"/>
    <w:rsid w:val="008C2B77"/>
    <w:rsid w:val="008C35FE"/>
    <w:rsid w:val="008C4D73"/>
    <w:rsid w:val="008C5732"/>
    <w:rsid w:val="008D0F44"/>
    <w:rsid w:val="008D2ADD"/>
    <w:rsid w:val="008D45E9"/>
    <w:rsid w:val="008E04AE"/>
    <w:rsid w:val="008E0F33"/>
    <w:rsid w:val="008E73DD"/>
    <w:rsid w:val="008F26DD"/>
    <w:rsid w:val="0090660A"/>
    <w:rsid w:val="009074E4"/>
    <w:rsid w:val="0091675F"/>
    <w:rsid w:val="00916EFC"/>
    <w:rsid w:val="009249F8"/>
    <w:rsid w:val="0092517A"/>
    <w:rsid w:val="00926526"/>
    <w:rsid w:val="00927DC1"/>
    <w:rsid w:val="0093042B"/>
    <w:rsid w:val="00933FF2"/>
    <w:rsid w:val="00935092"/>
    <w:rsid w:val="0093540F"/>
    <w:rsid w:val="00943C98"/>
    <w:rsid w:val="00943CD3"/>
    <w:rsid w:val="00943ED8"/>
    <w:rsid w:val="00945A2F"/>
    <w:rsid w:val="00946493"/>
    <w:rsid w:val="00947784"/>
    <w:rsid w:val="00947BF4"/>
    <w:rsid w:val="00950EC6"/>
    <w:rsid w:val="00950F8A"/>
    <w:rsid w:val="00952E74"/>
    <w:rsid w:val="009544D1"/>
    <w:rsid w:val="00962BA4"/>
    <w:rsid w:val="00964DB4"/>
    <w:rsid w:val="00976CDE"/>
    <w:rsid w:val="00980719"/>
    <w:rsid w:val="009810FB"/>
    <w:rsid w:val="0098787F"/>
    <w:rsid w:val="00991F7C"/>
    <w:rsid w:val="00993EF1"/>
    <w:rsid w:val="009957D7"/>
    <w:rsid w:val="009A07BC"/>
    <w:rsid w:val="009A0A26"/>
    <w:rsid w:val="009A0A66"/>
    <w:rsid w:val="009A3462"/>
    <w:rsid w:val="009A3CBC"/>
    <w:rsid w:val="009B6185"/>
    <w:rsid w:val="009C0923"/>
    <w:rsid w:val="009C0B4B"/>
    <w:rsid w:val="009C423C"/>
    <w:rsid w:val="009D14A5"/>
    <w:rsid w:val="009D42C5"/>
    <w:rsid w:val="009D44DD"/>
    <w:rsid w:val="009D56D8"/>
    <w:rsid w:val="009F3E41"/>
    <w:rsid w:val="009F44FB"/>
    <w:rsid w:val="009F4E80"/>
    <w:rsid w:val="009F6579"/>
    <w:rsid w:val="00A01F6C"/>
    <w:rsid w:val="00A04F33"/>
    <w:rsid w:val="00A051B2"/>
    <w:rsid w:val="00A11F8C"/>
    <w:rsid w:val="00A12DAF"/>
    <w:rsid w:val="00A13573"/>
    <w:rsid w:val="00A13A34"/>
    <w:rsid w:val="00A15141"/>
    <w:rsid w:val="00A1668E"/>
    <w:rsid w:val="00A207AE"/>
    <w:rsid w:val="00A24994"/>
    <w:rsid w:val="00A305C6"/>
    <w:rsid w:val="00A343A2"/>
    <w:rsid w:val="00A35465"/>
    <w:rsid w:val="00A35A0C"/>
    <w:rsid w:val="00A35E24"/>
    <w:rsid w:val="00A40362"/>
    <w:rsid w:val="00A410E6"/>
    <w:rsid w:val="00A413C8"/>
    <w:rsid w:val="00A42D10"/>
    <w:rsid w:val="00A47615"/>
    <w:rsid w:val="00A50D82"/>
    <w:rsid w:val="00A53913"/>
    <w:rsid w:val="00A5558A"/>
    <w:rsid w:val="00A557A5"/>
    <w:rsid w:val="00A56A76"/>
    <w:rsid w:val="00A61B14"/>
    <w:rsid w:val="00A62053"/>
    <w:rsid w:val="00A71601"/>
    <w:rsid w:val="00A72544"/>
    <w:rsid w:val="00A768C4"/>
    <w:rsid w:val="00A76A27"/>
    <w:rsid w:val="00A77D74"/>
    <w:rsid w:val="00A80D54"/>
    <w:rsid w:val="00A8231C"/>
    <w:rsid w:val="00A82591"/>
    <w:rsid w:val="00A8311A"/>
    <w:rsid w:val="00A83B7F"/>
    <w:rsid w:val="00A84AAF"/>
    <w:rsid w:val="00A864B7"/>
    <w:rsid w:val="00A87C2D"/>
    <w:rsid w:val="00A9319B"/>
    <w:rsid w:val="00A96C3B"/>
    <w:rsid w:val="00AA14FB"/>
    <w:rsid w:val="00AA3106"/>
    <w:rsid w:val="00AA6FDC"/>
    <w:rsid w:val="00AB0854"/>
    <w:rsid w:val="00AB7987"/>
    <w:rsid w:val="00AC35E4"/>
    <w:rsid w:val="00AD0A87"/>
    <w:rsid w:val="00AD42AB"/>
    <w:rsid w:val="00AD550E"/>
    <w:rsid w:val="00AE0146"/>
    <w:rsid w:val="00AE2831"/>
    <w:rsid w:val="00AE4883"/>
    <w:rsid w:val="00AE4DCF"/>
    <w:rsid w:val="00AE5304"/>
    <w:rsid w:val="00AE7BD2"/>
    <w:rsid w:val="00AF04CB"/>
    <w:rsid w:val="00AF4192"/>
    <w:rsid w:val="00AF4C87"/>
    <w:rsid w:val="00AF5917"/>
    <w:rsid w:val="00AF5B64"/>
    <w:rsid w:val="00B02B5B"/>
    <w:rsid w:val="00B03D18"/>
    <w:rsid w:val="00B04C11"/>
    <w:rsid w:val="00B110ED"/>
    <w:rsid w:val="00B22973"/>
    <w:rsid w:val="00B24B53"/>
    <w:rsid w:val="00B25C86"/>
    <w:rsid w:val="00B32CCA"/>
    <w:rsid w:val="00B33B59"/>
    <w:rsid w:val="00B3411F"/>
    <w:rsid w:val="00B354C6"/>
    <w:rsid w:val="00B37C25"/>
    <w:rsid w:val="00B541D4"/>
    <w:rsid w:val="00B54B01"/>
    <w:rsid w:val="00B55180"/>
    <w:rsid w:val="00B612E4"/>
    <w:rsid w:val="00B62CFE"/>
    <w:rsid w:val="00B65048"/>
    <w:rsid w:val="00B66C88"/>
    <w:rsid w:val="00B67C6E"/>
    <w:rsid w:val="00B744AD"/>
    <w:rsid w:val="00B74FDC"/>
    <w:rsid w:val="00B7596F"/>
    <w:rsid w:val="00B76B99"/>
    <w:rsid w:val="00B80476"/>
    <w:rsid w:val="00B8291C"/>
    <w:rsid w:val="00B8392A"/>
    <w:rsid w:val="00B83ED4"/>
    <w:rsid w:val="00B86EFC"/>
    <w:rsid w:val="00B87CB3"/>
    <w:rsid w:val="00B915F0"/>
    <w:rsid w:val="00B96838"/>
    <w:rsid w:val="00B97725"/>
    <w:rsid w:val="00B9791E"/>
    <w:rsid w:val="00BA352D"/>
    <w:rsid w:val="00BA73B9"/>
    <w:rsid w:val="00BA7B93"/>
    <w:rsid w:val="00BB0176"/>
    <w:rsid w:val="00BB5823"/>
    <w:rsid w:val="00BB59C7"/>
    <w:rsid w:val="00BB6531"/>
    <w:rsid w:val="00BB784F"/>
    <w:rsid w:val="00BC1749"/>
    <w:rsid w:val="00BC4E6D"/>
    <w:rsid w:val="00BC66FD"/>
    <w:rsid w:val="00BD11CE"/>
    <w:rsid w:val="00BD2C65"/>
    <w:rsid w:val="00BD6894"/>
    <w:rsid w:val="00BE0443"/>
    <w:rsid w:val="00BE1919"/>
    <w:rsid w:val="00BE5EC8"/>
    <w:rsid w:val="00BF2DFE"/>
    <w:rsid w:val="00BF4BEE"/>
    <w:rsid w:val="00C05EAF"/>
    <w:rsid w:val="00C07000"/>
    <w:rsid w:val="00C162CA"/>
    <w:rsid w:val="00C16BE6"/>
    <w:rsid w:val="00C21CD3"/>
    <w:rsid w:val="00C2291A"/>
    <w:rsid w:val="00C27771"/>
    <w:rsid w:val="00C31E05"/>
    <w:rsid w:val="00C31EB5"/>
    <w:rsid w:val="00C33B7F"/>
    <w:rsid w:val="00C35E60"/>
    <w:rsid w:val="00C37A05"/>
    <w:rsid w:val="00C44552"/>
    <w:rsid w:val="00C50798"/>
    <w:rsid w:val="00C528C1"/>
    <w:rsid w:val="00C65E0A"/>
    <w:rsid w:val="00C66476"/>
    <w:rsid w:val="00C666AB"/>
    <w:rsid w:val="00C717E3"/>
    <w:rsid w:val="00C75742"/>
    <w:rsid w:val="00C815A2"/>
    <w:rsid w:val="00C824FB"/>
    <w:rsid w:val="00C85497"/>
    <w:rsid w:val="00C85E8F"/>
    <w:rsid w:val="00C87417"/>
    <w:rsid w:val="00C9389E"/>
    <w:rsid w:val="00CA5743"/>
    <w:rsid w:val="00CB0A29"/>
    <w:rsid w:val="00CC0188"/>
    <w:rsid w:val="00CC1E05"/>
    <w:rsid w:val="00CC4FFF"/>
    <w:rsid w:val="00CC7FCB"/>
    <w:rsid w:val="00CD50A9"/>
    <w:rsid w:val="00CE00D8"/>
    <w:rsid w:val="00CE1101"/>
    <w:rsid w:val="00CE29D7"/>
    <w:rsid w:val="00CF41AA"/>
    <w:rsid w:val="00CF63C9"/>
    <w:rsid w:val="00D02501"/>
    <w:rsid w:val="00D05276"/>
    <w:rsid w:val="00D109E3"/>
    <w:rsid w:val="00D16F73"/>
    <w:rsid w:val="00D1760A"/>
    <w:rsid w:val="00D2080B"/>
    <w:rsid w:val="00D22D33"/>
    <w:rsid w:val="00D24F5E"/>
    <w:rsid w:val="00D2750C"/>
    <w:rsid w:val="00D3062B"/>
    <w:rsid w:val="00D3194D"/>
    <w:rsid w:val="00D35635"/>
    <w:rsid w:val="00D406E2"/>
    <w:rsid w:val="00D47975"/>
    <w:rsid w:val="00D54284"/>
    <w:rsid w:val="00D544BB"/>
    <w:rsid w:val="00D6414D"/>
    <w:rsid w:val="00D64B10"/>
    <w:rsid w:val="00D64D9A"/>
    <w:rsid w:val="00D66CF5"/>
    <w:rsid w:val="00D6742C"/>
    <w:rsid w:val="00D7028D"/>
    <w:rsid w:val="00D70CCF"/>
    <w:rsid w:val="00D74058"/>
    <w:rsid w:val="00D76DF3"/>
    <w:rsid w:val="00D82CA6"/>
    <w:rsid w:val="00D8430D"/>
    <w:rsid w:val="00D849F1"/>
    <w:rsid w:val="00D90E27"/>
    <w:rsid w:val="00D91857"/>
    <w:rsid w:val="00D92105"/>
    <w:rsid w:val="00D93AB6"/>
    <w:rsid w:val="00D96080"/>
    <w:rsid w:val="00DA2199"/>
    <w:rsid w:val="00DA2E96"/>
    <w:rsid w:val="00DA3624"/>
    <w:rsid w:val="00DA5820"/>
    <w:rsid w:val="00DA5E52"/>
    <w:rsid w:val="00DA68E4"/>
    <w:rsid w:val="00DB0FF5"/>
    <w:rsid w:val="00DB5510"/>
    <w:rsid w:val="00DB670A"/>
    <w:rsid w:val="00DC15E8"/>
    <w:rsid w:val="00DC30F4"/>
    <w:rsid w:val="00DC4866"/>
    <w:rsid w:val="00DC6E14"/>
    <w:rsid w:val="00DC7417"/>
    <w:rsid w:val="00DD39D9"/>
    <w:rsid w:val="00DD49A0"/>
    <w:rsid w:val="00DD4F03"/>
    <w:rsid w:val="00DD657B"/>
    <w:rsid w:val="00DD6F06"/>
    <w:rsid w:val="00DD71CB"/>
    <w:rsid w:val="00DD7C6C"/>
    <w:rsid w:val="00DE1425"/>
    <w:rsid w:val="00DE1599"/>
    <w:rsid w:val="00DE2178"/>
    <w:rsid w:val="00DE3390"/>
    <w:rsid w:val="00DE4F01"/>
    <w:rsid w:val="00DE7282"/>
    <w:rsid w:val="00DF06C2"/>
    <w:rsid w:val="00DF0DC3"/>
    <w:rsid w:val="00DF1495"/>
    <w:rsid w:val="00DF28DE"/>
    <w:rsid w:val="00E0179A"/>
    <w:rsid w:val="00E0449E"/>
    <w:rsid w:val="00E07F5C"/>
    <w:rsid w:val="00E13E80"/>
    <w:rsid w:val="00E15EF2"/>
    <w:rsid w:val="00E16EBC"/>
    <w:rsid w:val="00E25626"/>
    <w:rsid w:val="00E25FCC"/>
    <w:rsid w:val="00E27B6E"/>
    <w:rsid w:val="00E27DE2"/>
    <w:rsid w:val="00E30032"/>
    <w:rsid w:val="00E301A0"/>
    <w:rsid w:val="00E301AF"/>
    <w:rsid w:val="00E30ECF"/>
    <w:rsid w:val="00E31F96"/>
    <w:rsid w:val="00E33D27"/>
    <w:rsid w:val="00E36365"/>
    <w:rsid w:val="00E3708B"/>
    <w:rsid w:val="00E37A4A"/>
    <w:rsid w:val="00E43C7B"/>
    <w:rsid w:val="00E45200"/>
    <w:rsid w:val="00E5571A"/>
    <w:rsid w:val="00E56510"/>
    <w:rsid w:val="00E5699D"/>
    <w:rsid w:val="00E62A50"/>
    <w:rsid w:val="00E67445"/>
    <w:rsid w:val="00E70829"/>
    <w:rsid w:val="00E72A6B"/>
    <w:rsid w:val="00E72B20"/>
    <w:rsid w:val="00E73F2F"/>
    <w:rsid w:val="00E740D4"/>
    <w:rsid w:val="00E77943"/>
    <w:rsid w:val="00E8262D"/>
    <w:rsid w:val="00E82787"/>
    <w:rsid w:val="00E840D8"/>
    <w:rsid w:val="00E87D87"/>
    <w:rsid w:val="00E91578"/>
    <w:rsid w:val="00E93EB7"/>
    <w:rsid w:val="00E94334"/>
    <w:rsid w:val="00E95A90"/>
    <w:rsid w:val="00EA0921"/>
    <w:rsid w:val="00EA3D97"/>
    <w:rsid w:val="00EA3ED4"/>
    <w:rsid w:val="00EA4393"/>
    <w:rsid w:val="00EA4505"/>
    <w:rsid w:val="00EB0657"/>
    <w:rsid w:val="00EB38EB"/>
    <w:rsid w:val="00EB4AA1"/>
    <w:rsid w:val="00EB677C"/>
    <w:rsid w:val="00EB71DC"/>
    <w:rsid w:val="00EC03DA"/>
    <w:rsid w:val="00EC0434"/>
    <w:rsid w:val="00EC16AF"/>
    <w:rsid w:val="00EC1A5C"/>
    <w:rsid w:val="00EC2018"/>
    <w:rsid w:val="00ED0379"/>
    <w:rsid w:val="00ED2E7F"/>
    <w:rsid w:val="00ED3189"/>
    <w:rsid w:val="00ED4C2F"/>
    <w:rsid w:val="00ED7886"/>
    <w:rsid w:val="00EE11F4"/>
    <w:rsid w:val="00EE656F"/>
    <w:rsid w:val="00EE7D60"/>
    <w:rsid w:val="00EF1050"/>
    <w:rsid w:val="00EF3AB3"/>
    <w:rsid w:val="00EF62C3"/>
    <w:rsid w:val="00F00F5C"/>
    <w:rsid w:val="00F02881"/>
    <w:rsid w:val="00F02BE8"/>
    <w:rsid w:val="00F02D2B"/>
    <w:rsid w:val="00F03023"/>
    <w:rsid w:val="00F05EFB"/>
    <w:rsid w:val="00F06A2F"/>
    <w:rsid w:val="00F0717D"/>
    <w:rsid w:val="00F125BE"/>
    <w:rsid w:val="00F1302C"/>
    <w:rsid w:val="00F168A6"/>
    <w:rsid w:val="00F16F0B"/>
    <w:rsid w:val="00F23EEA"/>
    <w:rsid w:val="00F241EA"/>
    <w:rsid w:val="00F25574"/>
    <w:rsid w:val="00F305F5"/>
    <w:rsid w:val="00F337AF"/>
    <w:rsid w:val="00F35F22"/>
    <w:rsid w:val="00F37FC1"/>
    <w:rsid w:val="00F50420"/>
    <w:rsid w:val="00F51F5C"/>
    <w:rsid w:val="00F526F2"/>
    <w:rsid w:val="00F564F9"/>
    <w:rsid w:val="00F64D18"/>
    <w:rsid w:val="00F656C1"/>
    <w:rsid w:val="00F76138"/>
    <w:rsid w:val="00F84C39"/>
    <w:rsid w:val="00F85B3C"/>
    <w:rsid w:val="00F9012A"/>
    <w:rsid w:val="00F913E5"/>
    <w:rsid w:val="00F926A4"/>
    <w:rsid w:val="00F96845"/>
    <w:rsid w:val="00FA0631"/>
    <w:rsid w:val="00FA7241"/>
    <w:rsid w:val="00FB04B5"/>
    <w:rsid w:val="00FB4546"/>
    <w:rsid w:val="00FB5E7D"/>
    <w:rsid w:val="00FB6C3A"/>
    <w:rsid w:val="00FB739A"/>
    <w:rsid w:val="00FC4700"/>
    <w:rsid w:val="00FD13B9"/>
    <w:rsid w:val="00FD175E"/>
    <w:rsid w:val="00FD4A5A"/>
    <w:rsid w:val="00FD6301"/>
    <w:rsid w:val="00FE01DC"/>
    <w:rsid w:val="00FE1532"/>
    <w:rsid w:val="00FF1623"/>
    <w:rsid w:val="00FF3072"/>
    <w:rsid w:val="00FF6E2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martTagType w:namespaceuri="urn:schemas-microsoft-com:office:smarttags" w:name="chmetcnv"/>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D14A5"/>
    <w:pPr>
      <w:adjustRightInd w:val="0"/>
      <w:snapToGrid w:val="0"/>
      <w:spacing w:after="200"/>
    </w:pPr>
    <w:rPr>
      <w:rFonts w:ascii="Tahoma" w:eastAsia="微软雅黑" w:hAnsi="Tahoma" w:cstheme="minorBidi"/>
      <w:kern w:val="0"/>
      <w:sz w:val="22"/>
      <w:szCs w:val="22"/>
    </w:rPr>
  </w:style>
  <w:style w:type="paragraph" w:styleId="1">
    <w:name w:val="heading 1"/>
    <w:basedOn w:val="a"/>
    <w:next w:val="a"/>
    <w:link w:val="1Char"/>
    <w:autoRedefine/>
    <w:qFormat/>
    <w:rsid w:val="002D1072"/>
    <w:pPr>
      <w:keepNext/>
      <w:keepLines/>
      <w:widowControl w:val="0"/>
      <w:numPr>
        <w:numId w:val="11"/>
      </w:numPr>
      <w:adjustRightInd/>
      <w:snapToGrid/>
      <w:spacing w:before="120" w:after="120" w:line="360" w:lineRule="auto"/>
      <w:outlineLvl w:val="0"/>
    </w:pPr>
    <w:rPr>
      <w:rFonts w:ascii="Arial" w:eastAsia="黑体" w:hAnsi="Arial" w:cs="Times New Roman"/>
      <w:bCs/>
      <w:spacing w:val="-4"/>
      <w:kern w:val="44"/>
      <w:sz w:val="28"/>
      <w:szCs w:val="44"/>
    </w:rPr>
  </w:style>
  <w:style w:type="paragraph" w:styleId="2">
    <w:name w:val="heading 2"/>
    <w:basedOn w:val="a"/>
    <w:next w:val="a"/>
    <w:link w:val="2Char"/>
    <w:autoRedefine/>
    <w:qFormat/>
    <w:rsid w:val="002D1072"/>
    <w:pPr>
      <w:keepNext/>
      <w:keepLines/>
      <w:widowControl w:val="0"/>
      <w:numPr>
        <w:ilvl w:val="1"/>
        <w:numId w:val="11"/>
      </w:numPr>
      <w:adjustRightInd/>
      <w:snapToGrid/>
      <w:spacing w:before="120" w:after="120" w:line="360" w:lineRule="auto"/>
      <w:outlineLvl w:val="1"/>
    </w:pPr>
    <w:rPr>
      <w:rFonts w:ascii="Arial" w:eastAsia="黑体" w:hAnsi="Arial" w:cs="Times New Roman"/>
      <w:bCs/>
      <w:spacing w:val="-4"/>
      <w:kern w:val="2"/>
      <w:sz w:val="24"/>
      <w:szCs w:val="32"/>
    </w:rPr>
  </w:style>
  <w:style w:type="paragraph" w:styleId="3">
    <w:name w:val="heading 3"/>
    <w:basedOn w:val="a"/>
    <w:next w:val="a"/>
    <w:link w:val="3Char"/>
    <w:autoRedefine/>
    <w:qFormat/>
    <w:rsid w:val="002D1072"/>
    <w:pPr>
      <w:keepNext/>
      <w:keepLines/>
      <w:widowControl w:val="0"/>
      <w:numPr>
        <w:ilvl w:val="2"/>
        <w:numId w:val="11"/>
      </w:numPr>
      <w:adjustRightInd/>
      <w:snapToGrid/>
      <w:spacing w:before="120" w:after="120" w:line="360" w:lineRule="auto"/>
      <w:outlineLvl w:val="2"/>
    </w:pPr>
    <w:rPr>
      <w:rFonts w:ascii="Arial" w:eastAsia="黑体" w:hAnsi="Arial" w:cs="Times New Roman"/>
      <w:bCs/>
      <w:spacing w:val="-4"/>
      <w:kern w:val="2"/>
      <w:sz w:val="21"/>
      <w:szCs w:val="32"/>
    </w:rPr>
  </w:style>
  <w:style w:type="paragraph" w:styleId="4">
    <w:name w:val="heading 4"/>
    <w:basedOn w:val="a"/>
    <w:next w:val="a"/>
    <w:link w:val="4Char"/>
    <w:autoRedefine/>
    <w:uiPriority w:val="9"/>
    <w:semiHidden/>
    <w:unhideWhenUsed/>
    <w:qFormat/>
    <w:rsid w:val="002D1072"/>
    <w:pPr>
      <w:keepNext/>
      <w:keepLines/>
      <w:widowControl w:val="0"/>
      <w:adjustRightInd/>
      <w:snapToGrid/>
      <w:spacing w:before="120" w:after="120" w:line="360" w:lineRule="auto"/>
      <w:ind w:left="-862"/>
      <w:outlineLvl w:val="3"/>
    </w:pPr>
    <w:rPr>
      <w:rFonts w:ascii="Arial" w:eastAsia="仿宋_GB2312" w:hAnsi="Arial" w:cs="Times New Roman"/>
      <w:bCs/>
      <w:spacing w:val="-4"/>
      <w:kern w:val="2"/>
      <w:sz w:val="21"/>
      <w:szCs w:val="28"/>
    </w:rPr>
  </w:style>
  <w:style w:type="paragraph" w:styleId="5">
    <w:name w:val="heading 5"/>
    <w:basedOn w:val="a"/>
    <w:next w:val="a"/>
    <w:link w:val="5Char"/>
    <w:autoRedefine/>
    <w:semiHidden/>
    <w:unhideWhenUsed/>
    <w:qFormat/>
    <w:rsid w:val="002D1072"/>
    <w:pPr>
      <w:widowControl w:val="0"/>
      <w:numPr>
        <w:ilvl w:val="4"/>
        <w:numId w:val="11"/>
      </w:numPr>
      <w:topLinePunct/>
      <w:adjustRightInd/>
      <w:snapToGrid/>
      <w:spacing w:before="120" w:after="120" w:line="288" w:lineRule="auto"/>
      <w:outlineLvl w:val="4"/>
    </w:pPr>
    <w:rPr>
      <w:rFonts w:ascii="Times New Roman" w:eastAsia="楷体_GB2312" w:hAnsi="Times New Roman" w:cs="Times New Roman"/>
      <w:bCs/>
      <w:kern w:val="2"/>
      <w:sz w:val="24"/>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Char"/>
    <w:autoRedefine/>
    <w:qFormat/>
    <w:rsid w:val="001D3313"/>
    <w:pPr>
      <w:widowControl w:val="0"/>
      <w:topLinePunct/>
      <w:spacing w:before="240" w:after="240"/>
      <w:jc w:val="center"/>
      <w:outlineLvl w:val="0"/>
    </w:pPr>
    <w:rPr>
      <w:rFonts w:ascii="Times New Roman" w:eastAsia="宋体" w:hAnsi="Times New Roman" w:cstheme="majorBidi"/>
      <w:b/>
      <w:bCs/>
      <w:kern w:val="2"/>
      <w:sz w:val="32"/>
      <w:szCs w:val="32"/>
    </w:rPr>
  </w:style>
  <w:style w:type="character" w:customStyle="1" w:styleId="Char">
    <w:name w:val="标题 Char"/>
    <w:basedOn w:val="a0"/>
    <w:link w:val="a3"/>
    <w:rsid w:val="001D3313"/>
    <w:rPr>
      <w:rFonts w:cstheme="majorBidi"/>
      <w:b/>
      <w:bCs/>
      <w:sz w:val="32"/>
      <w:szCs w:val="32"/>
    </w:rPr>
  </w:style>
  <w:style w:type="character" w:customStyle="1" w:styleId="1Char">
    <w:name w:val="标题 1 Char"/>
    <w:basedOn w:val="a0"/>
    <w:link w:val="1"/>
    <w:rsid w:val="002D1072"/>
    <w:rPr>
      <w:rFonts w:ascii="Arial" w:eastAsia="黑体" w:hAnsi="Arial"/>
      <w:bCs/>
      <w:spacing w:val="-4"/>
      <w:kern w:val="44"/>
      <w:sz w:val="28"/>
      <w:szCs w:val="44"/>
    </w:rPr>
  </w:style>
  <w:style w:type="character" w:customStyle="1" w:styleId="2Char">
    <w:name w:val="标题 2 Char"/>
    <w:basedOn w:val="a0"/>
    <w:link w:val="2"/>
    <w:rsid w:val="002D1072"/>
    <w:rPr>
      <w:rFonts w:ascii="Arial" w:eastAsia="黑体" w:hAnsi="Arial"/>
      <w:bCs/>
      <w:spacing w:val="-4"/>
      <w:sz w:val="24"/>
      <w:szCs w:val="32"/>
    </w:rPr>
  </w:style>
  <w:style w:type="character" w:customStyle="1" w:styleId="3Char">
    <w:name w:val="标题 3 Char"/>
    <w:link w:val="3"/>
    <w:rsid w:val="002D1072"/>
    <w:rPr>
      <w:rFonts w:ascii="Arial" w:eastAsia="黑体" w:hAnsi="Arial"/>
      <w:bCs/>
      <w:spacing w:val="-4"/>
      <w:sz w:val="21"/>
      <w:szCs w:val="32"/>
    </w:rPr>
  </w:style>
  <w:style w:type="character" w:customStyle="1" w:styleId="4Char">
    <w:name w:val="标题 4 Char"/>
    <w:link w:val="4"/>
    <w:uiPriority w:val="9"/>
    <w:semiHidden/>
    <w:rsid w:val="002D1072"/>
    <w:rPr>
      <w:rFonts w:ascii="Arial" w:eastAsia="仿宋_GB2312" w:hAnsi="Arial"/>
      <w:bCs/>
      <w:spacing w:val="-4"/>
      <w:sz w:val="21"/>
      <w:szCs w:val="28"/>
    </w:rPr>
  </w:style>
  <w:style w:type="character" w:customStyle="1" w:styleId="5Char">
    <w:name w:val="标题 5 Char"/>
    <w:basedOn w:val="a0"/>
    <w:link w:val="5"/>
    <w:semiHidden/>
    <w:rsid w:val="00B612E4"/>
    <w:rPr>
      <w:rFonts w:eastAsia="楷体_GB2312"/>
      <w:bCs/>
      <w:sz w:val="24"/>
      <w:szCs w:val="28"/>
    </w:rPr>
  </w:style>
  <w:style w:type="paragraph" w:customStyle="1" w:styleId="a4">
    <w:name w:val="图目录"/>
    <w:basedOn w:val="a"/>
    <w:autoRedefine/>
    <w:qFormat/>
    <w:rsid w:val="002D1072"/>
    <w:pPr>
      <w:widowControl w:val="0"/>
      <w:adjustRightInd/>
      <w:spacing w:afterLines="50" w:line="288" w:lineRule="auto"/>
      <w:jc w:val="center"/>
    </w:pPr>
    <w:rPr>
      <w:rFonts w:ascii="Arial" w:eastAsia="黑体" w:hAnsi="Arial" w:cs="Times New Roman"/>
      <w:color w:val="000000"/>
      <w:spacing w:val="-4"/>
      <w:kern w:val="2"/>
      <w:sz w:val="18"/>
      <w:szCs w:val="36"/>
    </w:rPr>
  </w:style>
  <w:style w:type="paragraph" w:customStyle="1" w:styleId="a5">
    <w:name w:val="图题注"/>
    <w:basedOn w:val="a"/>
    <w:autoRedefine/>
    <w:qFormat/>
    <w:rsid w:val="002D1072"/>
    <w:pPr>
      <w:widowControl w:val="0"/>
      <w:adjustRightInd/>
      <w:spacing w:afterLines="50" w:line="288" w:lineRule="auto"/>
      <w:jc w:val="center"/>
    </w:pPr>
    <w:rPr>
      <w:rFonts w:ascii="Arial" w:eastAsia="黑体" w:hAnsi="Arial" w:cs="Times New Roman"/>
      <w:color w:val="000000"/>
      <w:spacing w:val="-4"/>
      <w:kern w:val="2"/>
      <w:sz w:val="18"/>
      <w:szCs w:val="36"/>
    </w:rPr>
  </w:style>
  <w:style w:type="paragraph" w:customStyle="1" w:styleId="a6">
    <w:name w:val="表题注"/>
    <w:basedOn w:val="a"/>
    <w:autoRedefine/>
    <w:qFormat/>
    <w:rsid w:val="002D1072"/>
    <w:pPr>
      <w:widowControl w:val="0"/>
      <w:adjustRightInd/>
      <w:spacing w:beforeLines="50" w:after="0" w:line="288" w:lineRule="auto"/>
      <w:jc w:val="center"/>
    </w:pPr>
    <w:rPr>
      <w:rFonts w:ascii="Arial" w:eastAsia="黑体" w:hAnsi="Arial" w:cs="Times New Roman"/>
      <w:spacing w:val="-4"/>
      <w:kern w:val="2"/>
      <w:sz w:val="18"/>
      <w:szCs w:val="20"/>
    </w:rPr>
  </w:style>
  <w:style w:type="paragraph" w:styleId="a7">
    <w:name w:val="footer"/>
    <w:basedOn w:val="a"/>
    <w:link w:val="Char0"/>
    <w:uiPriority w:val="99"/>
    <w:unhideWhenUsed/>
    <w:rsid w:val="009D14A5"/>
    <w:pPr>
      <w:widowControl w:val="0"/>
      <w:tabs>
        <w:tab w:val="center" w:pos="4153"/>
        <w:tab w:val="right" w:pos="8306"/>
      </w:tabs>
      <w:adjustRightInd/>
      <w:spacing w:after="0"/>
    </w:pPr>
    <w:rPr>
      <w:rFonts w:ascii="Times New Roman" w:eastAsia="宋体" w:hAnsi="Times New Roman" w:cs="Times New Roman"/>
      <w:kern w:val="2"/>
      <w:sz w:val="18"/>
      <w:szCs w:val="18"/>
    </w:rPr>
  </w:style>
  <w:style w:type="character" w:customStyle="1" w:styleId="Char0">
    <w:name w:val="页脚 Char"/>
    <w:basedOn w:val="a0"/>
    <w:link w:val="a7"/>
    <w:uiPriority w:val="99"/>
    <w:rsid w:val="009D14A5"/>
    <w:rPr>
      <w:sz w:val="18"/>
      <w:szCs w:val="18"/>
    </w:rPr>
  </w:style>
  <w:style w:type="character" w:styleId="a8">
    <w:name w:val="page number"/>
    <w:basedOn w:val="a0"/>
    <w:rsid w:val="009D14A5"/>
  </w:style>
  <w:style w:type="paragraph" w:styleId="a9">
    <w:name w:val="Balloon Text"/>
    <w:basedOn w:val="a"/>
    <w:link w:val="Char1"/>
    <w:uiPriority w:val="99"/>
    <w:semiHidden/>
    <w:unhideWhenUsed/>
    <w:rsid w:val="009D14A5"/>
    <w:pPr>
      <w:spacing w:after="0"/>
    </w:pPr>
    <w:rPr>
      <w:sz w:val="18"/>
      <w:szCs w:val="18"/>
    </w:rPr>
  </w:style>
  <w:style w:type="character" w:customStyle="1" w:styleId="Char1">
    <w:name w:val="批注框文本 Char"/>
    <w:basedOn w:val="a0"/>
    <w:link w:val="a9"/>
    <w:uiPriority w:val="99"/>
    <w:semiHidden/>
    <w:rsid w:val="009D14A5"/>
    <w:rPr>
      <w:rFonts w:ascii="Tahoma" w:eastAsia="微软雅黑" w:hAnsi="Tahoma" w:cstheme="minorBidi"/>
      <w:kern w:val="0"/>
      <w:sz w:val="18"/>
      <w:szCs w:val="18"/>
    </w:rPr>
  </w:style>
  <w:style w:type="paragraph" w:styleId="aa">
    <w:name w:val="List Paragraph"/>
    <w:basedOn w:val="a"/>
    <w:uiPriority w:val="34"/>
    <w:qFormat/>
    <w:rsid w:val="005B4D1E"/>
    <w:pPr>
      <w:ind w:firstLineChars="200" w:firstLine="420"/>
    </w:pPr>
  </w:style>
  <w:style w:type="paragraph" w:styleId="10">
    <w:name w:val="toc 1"/>
    <w:basedOn w:val="a"/>
    <w:next w:val="a"/>
    <w:autoRedefine/>
    <w:uiPriority w:val="39"/>
    <w:unhideWhenUsed/>
    <w:rsid w:val="00EC0434"/>
    <w:pPr>
      <w:spacing w:before="120" w:after="120"/>
    </w:pPr>
    <w:rPr>
      <w:rFonts w:asciiTheme="minorHAnsi" w:hAnsiTheme="minorHAnsi"/>
      <w:b/>
      <w:bCs/>
      <w:caps/>
      <w:sz w:val="20"/>
      <w:szCs w:val="20"/>
    </w:rPr>
  </w:style>
  <w:style w:type="paragraph" w:styleId="20">
    <w:name w:val="toc 2"/>
    <w:basedOn w:val="a"/>
    <w:next w:val="a"/>
    <w:autoRedefine/>
    <w:uiPriority w:val="39"/>
    <w:unhideWhenUsed/>
    <w:rsid w:val="00EC0434"/>
    <w:pPr>
      <w:spacing w:after="0"/>
      <w:ind w:left="220"/>
    </w:pPr>
    <w:rPr>
      <w:rFonts w:asciiTheme="minorHAnsi" w:hAnsiTheme="minorHAnsi"/>
      <w:smallCaps/>
      <w:sz w:val="20"/>
      <w:szCs w:val="20"/>
    </w:rPr>
  </w:style>
  <w:style w:type="paragraph" w:styleId="30">
    <w:name w:val="toc 3"/>
    <w:basedOn w:val="a"/>
    <w:next w:val="a"/>
    <w:autoRedefine/>
    <w:uiPriority w:val="39"/>
    <w:unhideWhenUsed/>
    <w:rsid w:val="00EC0434"/>
    <w:pPr>
      <w:spacing w:after="0"/>
      <w:ind w:left="440"/>
    </w:pPr>
    <w:rPr>
      <w:rFonts w:asciiTheme="minorHAnsi" w:hAnsiTheme="minorHAnsi"/>
      <w:i/>
      <w:iCs/>
      <w:sz w:val="20"/>
      <w:szCs w:val="20"/>
    </w:rPr>
  </w:style>
  <w:style w:type="paragraph" w:styleId="40">
    <w:name w:val="toc 4"/>
    <w:basedOn w:val="a"/>
    <w:next w:val="a"/>
    <w:autoRedefine/>
    <w:uiPriority w:val="39"/>
    <w:unhideWhenUsed/>
    <w:rsid w:val="00EC0434"/>
    <w:pPr>
      <w:spacing w:after="0"/>
      <w:ind w:left="660"/>
    </w:pPr>
    <w:rPr>
      <w:rFonts w:asciiTheme="minorHAnsi" w:hAnsiTheme="minorHAnsi"/>
      <w:sz w:val="18"/>
      <w:szCs w:val="18"/>
    </w:rPr>
  </w:style>
  <w:style w:type="paragraph" w:styleId="50">
    <w:name w:val="toc 5"/>
    <w:basedOn w:val="a"/>
    <w:next w:val="a"/>
    <w:autoRedefine/>
    <w:uiPriority w:val="39"/>
    <w:unhideWhenUsed/>
    <w:rsid w:val="00EC0434"/>
    <w:pPr>
      <w:spacing w:after="0"/>
      <w:ind w:left="880"/>
    </w:pPr>
    <w:rPr>
      <w:rFonts w:asciiTheme="minorHAnsi" w:hAnsiTheme="minorHAnsi"/>
      <w:sz w:val="18"/>
      <w:szCs w:val="18"/>
    </w:rPr>
  </w:style>
  <w:style w:type="paragraph" w:styleId="6">
    <w:name w:val="toc 6"/>
    <w:basedOn w:val="a"/>
    <w:next w:val="a"/>
    <w:autoRedefine/>
    <w:uiPriority w:val="39"/>
    <w:unhideWhenUsed/>
    <w:rsid w:val="00EC0434"/>
    <w:pPr>
      <w:spacing w:after="0"/>
      <w:ind w:left="1100"/>
    </w:pPr>
    <w:rPr>
      <w:rFonts w:asciiTheme="minorHAnsi" w:hAnsiTheme="minorHAnsi"/>
      <w:sz w:val="18"/>
      <w:szCs w:val="18"/>
    </w:rPr>
  </w:style>
  <w:style w:type="paragraph" w:styleId="7">
    <w:name w:val="toc 7"/>
    <w:basedOn w:val="a"/>
    <w:next w:val="a"/>
    <w:autoRedefine/>
    <w:uiPriority w:val="39"/>
    <w:unhideWhenUsed/>
    <w:rsid w:val="00EC0434"/>
    <w:pPr>
      <w:spacing w:after="0"/>
      <w:ind w:left="1320"/>
    </w:pPr>
    <w:rPr>
      <w:rFonts w:asciiTheme="minorHAnsi" w:hAnsiTheme="minorHAnsi"/>
      <w:sz w:val="18"/>
      <w:szCs w:val="18"/>
    </w:rPr>
  </w:style>
  <w:style w:type="paragraph" w:styleId="8">
    <w:name w:val="toc 8"/>
    <w:basedOn w:val="a"/>
    <w:next w:val="a"/>
    <w:autoRedefine/>
    <w:uiPriority w:val="39"/>
    <w:unhideWhenUsed/>
    <w:rsid w:val="00EC0434"/>
    <w:pPr>
      <w:spacing w:after="0"/>
      <w:ind w:left="1540"/>
    </w:pPr>
    <w:rPr>
      <w:rFonts w:asciiTheme="minorHAnsi" w:hAnsiTheme="minorHAnsi"/>
      <w:sz w:val="18"/>
      <w:szCs w:val="18"/>
    </w:rPr>
  </w:style>
  <w:style w:type="paragraph" w:styleId="9">
    <w:name w:val="toc 9"/>
    <w:basedOn w:val="a"/>
    <w:next w:val="a"/>
    <w:autoRedefine/>
    <w:uiPriority w:val="39"/>
    <w:unhideWhenUsed/>
    <w:rsid w:val="00EC0434"/>
    <w:pPr>
      <w:spacing w:after="0"/>
      <w:ind w:left="1760"/>
    </w:pPr>
    <w:rPr>
      <w:rFonts w:asciiTheme="minorHAnsi" w:hAnsiTheme="minorHAnsi"/>
      <w:sz w:val="18"/>
      <w:szCs w:val="18"/>
    </w:rPr>
  </w:style>
  <w:style w:type="paragraph" w:styleId="ab">
    <w:name w:val="table of figures"/>
    <w:basedOn w:val="a"/>
    <w:next w:val="a"/>
    <w:uiPriority w:val="99"/>
    <w:unhideWhenUsed/>
    <w:rsid w:val="00EC0434"/>
    <w:pPr>
      <w:ind w:leftChars="200" w:left="200" w:hangingChars="200" w:hanging="200"/>
    </w:pPr>
  </w:style>
  <w:style w:type="paragraph" w:styleId="ac">
    <w:name w:val="header"/>
    <w:basedOn w:val="a"/>
    <w:link w:val="Char2"/>
    <w:uiPriority w:val="99"/>
    <w:semiHidden/>
    <w:unhideWhenUsed/>
    <w:rsid w:val="00EC0434"/>
    <w:pPr>
      <w:pBdr>
        <w:bottom w:val="single" w:sz="6" w:space="1" w:color="auto"/>
      </w:pBdr>
      <w:tabs>
        <w:tab w:val="center" w:pos="4153"/>
        <w:tab w:val="right" w:pos="8306"/>
      </w:tabs>
      <w:jc w:val="center"/>
    </w:pPr>
    <w:rPr>
      <w:sz w:val="18"/>
      <w:szCs w:val="18"/>
    </w:rPr>
  </w:style>
  <w:style w:type="character" w:customStyle="1" w:styleId="Char2">
    <w:name w:val="页眉 Char"/>
    <w:basedOn w:val="a0"/>
    <w:link w:val="ac"/>
    <w:uiPriority w:val="99"/>
    <w:semiHidden/>
    <w:rsid w:val="00EC0434"/>
    <w:rPr>
      <w:rFonts w:ascii="Tahoma" w:eastAsia="微软雅黑" w:hAnsi="Tahoma" w:cstheme="minorBidi"/>
      <w:kern w:val="0"/>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theme" Target="theme/theme1.xml"/><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6" Type="http://schemas.openxmlformats.org/officeDocument/2006/relationships/image" Target="media/image7.png"/><Relationship Id="rId107" Type="http://schemas.openxmlformats.org/officeDocument/2006/relationships/image" Target="media/image98.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87" Type="http://schemas.openxmlformats.org/officeDocument/2006/relationships/image" Target="media/image78.png"/><Relationship Id="rId102" Type="http://schemas.openxmlformats.org/officeDocument/2006/relationships/image" Target="media/image93.png"/><Relationship Id="rId110" Type="http://schemas.openxmlformats.org/officeDocument/2006/relationships/image" Target="media/image101.png"/><Relationship Id="rId115" Type="http://schemas.openxmlformats.org/officeDocument/2006/relationships/image" Target="media/image106.png"/><Relationship Id="rId5" Type="http://schemas.openxmlformats.org/officeDocument/2006/relationships/webSettings" Target="webSetting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image" Target="media/image81.png"/><Relationship Id="rId95" Type="http://schemas.openxmlformats.org/officeDocument/2006/relationships/image" Target="media/image86.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13" Type="http://schemas.openxmlformats.org/officeDocument/2006/relationships/image" Target="media/image104.png"/><Relationship Id="rId8" Type="http://schemas.openxmlformats.org/officeDocument/2006/relationships/footer" Target="footer1.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image" Target="media/image84.png"/><Relationship Id="rId98" Type="http://schemas.openxmlformats.org/officeDocument/2006/relationships/image" Target="media/image89.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103" Type="http://schemas.openxmlformats.org/officeDocument/2006/relationships/image" Target="media/image94.png"/><Relationship Id="rId108" Type="http://schemas.openxmlformats.org/officeDocument/2006/relationships/image" Target="media/image99.png"/><Relationship Id="rId116"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png"/><Relationship Id="rId111" Type="http://schemas.openxmlformats.org/officeDocument/2006/relationships/image" Target="media/image10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7.png"/><Relationship Id="rId114" Type="http://schemas.openxmlformats.org/officeDocument/2006/relationships/image" Target="media/image105.png"/><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716A0FA0-E1FC-4C6E-89EF-2DE0F8E790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398</TotalTime>
  <Pages>112</Pages>
  <Words>12108</Words>
  <Characters>69019</Characters>
  <Application>Microsoft Office Word</Application>
  <DocSecurity>0</DocSecurity>
  <Lines>575</Lines>
  <Paragraphs>161</Paragraphs>
  <ScaleCrop>false</ScaleCrop>
  <Company>WwW.YlmF.CoM</Company>
  <LinksUpToDate>false</LinksUpToDate>
  <CharactersWithSpaces>80966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cyl</dc:creator>
  <cp:keywords/>
  <dc:description/>
  <cp:lastModifiedBy>cyl</cp:lastModifiedBy>
  <cp:revision>12</cp:revision>
  <dcterms:created xsi:type="dcterms:W3CDTF">2014-12-08T02:07:00Z</dcterms:created>
  <dcterms:modified xsi:type="dcterms:W3CDTF">2017-10-25T08:41:00Z</dcterms:modified>
</cp:coreProperties>
</file>