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方正小标宋简体" w:cs="Times New Roman"/>
          <w:bCs/>
          <w:spacing w:val="-6"/>
          <w:sz w:val="44"/>
          <w:szCs w:val="44"/>
        </w:rPr>
      </w:pPr>
      <w:r>
        <w:rPr>
          <w:rFonts w:hint="default" w:ascii="Times New Roman" w:hAnsi="Times New Roman" w:eastAsia="方正小标宋简体" w:cs="Times New Roman"/>
          <w:bCs/>
          <w:spacing w:val="-6"/>
          <w:sz w:val="44"/>
          <w:szCs w:val="44"/>
        </w:rPr>
        <w:t>广西中医药大学博士、硕士学位授予工作</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Times New Roman" w:hAnsi="Times New Roman" w:eastAsia="方正小标宋简体" w:cs="Times New Roman"/>
          <w:b/>
          <w:bCs/>
          <w:sz w:val="32"/>
          <w:szCs w:val="32"/>
          <w:lang w:eastAsia="zh-CN"/>
        </w:rPr>
      </w:pPr>
      <w:r>
        <w:rPr>
          <w:rFonts w:hint="default" w:ascii="Times New Roman" w:hAnsi="Times New Roman" w:eastAsia="方正小标宋简体" w:cs="Times New Roman"/>
          <w:bCs/>
          <w:spacing w:val="-6"/>
          <w:sz w:val="44"/>
          <w:szCs w:val="44"/>
        </w:rPr>
        <w:t>实施细则</w:t>
      </w:r>
      <w:r>
        <w:rPr>
          <w:rFonts w:hint="default" w:ascii="Times New Roman" w:hAnsi="Times New Roman" w:eastAsia="方正小标宋简体" w:cs="Times New Roman"/>
          <w:bCs/>
          <w:spacing w:val="-6"/>
          <w:sz w:val="44"/>
          <w:szCs w:val="44"/>
          <w:lang w:eastAsia="zh-CN"/>
        </w:rPr>
        <w:t>（</w:t>
      </w:r>
      <w:r>
        <w:rPr>
          <w:rFonts w:hint="default" w:ascii="Times New Roman" w:hAnsi="Times New Roman" w:eastAsia="方正小标宋简体" w:cs="Times New Roman"/>
          <w:bCs/>
          <w:spacing w:val="-6"/>
          <w:sz w:val="44"/>
          <w:szCs w:val="44"/>
          <w:lang w:val="en-US" w:eastAsia="zh-CN"/>
        </w:rPr>
        <w:t>试行</w:t>
      </w:r>
      <w:r>
        <w:rPr>
          <w:rFonts w:hint="default" w:ascii="Times New Roman" w:hAnsi="Times New Roman" w:eastAsia="方正小标宋简体" w:cs="Times New Roman"/>
          <w:bCs/>
          <w:spacing w:val="-6"/>
          <w:sz w:val="44"/>
          <w:szCs w:val="44"/>
          <w:lang w:eastAsia="zh-CN"/>
        </w:rPr>
        <w:t>）</w:t>
      </w:r>
    </w:p>
    <w:p>
      <w:pPr>
        <w:widowControl/>
        <w:spacing w:before="159" w:beforeLines="50" w:after="95" w:afterLines="3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第一章  总则</w:t>
      </w:r>
    </w:p>
    <w:p>
      <w:pPr>
        <w:widowControl/>
        <w:ind w:firstLine="643" w:firstLineChars="200"/>
        <w:rPr>
          <w:rFonts w:hint="default" w:ascii="Times New Roman" w:hAnsi="Times New Roman" w:eastAsia="仿宋" w:cs="Times New Roman"/>
          <w:sz w:val="32"/>
          <w:szCs w:val="32"/>
        </w:rPr>
      </w:pPr>
      <w:r>
        <w:rPr>
          <w:rFonts w:hint="default" w:ascii="Times New Roman" w:hAnsi="Times New Roman" w:eastAsia="楷体" w:cs="Times New Roman"/>
          <w:b/>
          <w:sz w:val="32"/>
          <w:szCs w:val="32"/>
        </w:rPr>
        <w:t>第一条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color w:val="000000"/>
          <w:sz w:val="32"/>
          <w:szCs w:val="32"/>
        </w:rPr>
        <w:t>为贯彻执行《中华人民共和国学位条例》，根据《中华人民共和国学位条例暂行实施办法》和国家教育部的有关文件精神，结合我校具体情况，特制定本工作实施细则。</w:t>
      </w:r>
    </w:p>
    <w:p>
      <w:pPr>
        <w:widowControl/>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第二条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color w:val="000000"/>
          <w:sz w:val="32"/>
          <w:szCs w:val="32"/>
        </w:rPr>
        <w:t>本细则适用于我校博士、硕士学位授予工作，并且按照我校经国务院学位委员会批准或备案的学科和专业学位领域授予学位。</w:t>
      </w:r>
    </w:p>
    <w:p>
      <w:pPr>
        <w:widowControl/>
        <w:ind w:firstLine="643" w:firstLineChars="200"/>
        <w:rPr>
          <w:rFonts w:hint="default" w:ascii="Times New Roman" w:hAnsi="Times New Roman" w:eastAsia="仿宋" w:cs="Times New Roman"/>
          <w:sz w:val="32"/>
          <w:szCs w:val="32"/>
        </w:rPr>
      </w:pPr>
      <w:r>
        <w:rPr>
          <w:rFonts w:hint="default" w:ascii="Times New Roman" w:hAnsi="Times New Roman" w:eastAsia="楷体" w:cs="Times New Roman"/>
          <w:b/>
          <w:sz w:val="32"/>
          <w:szCs w:val="32"/>
        </w:rPr>
        <w:t>第三条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color w:val="000000"/>
          <w:sz w:val="32"/>
          <w:szCs w:val="32"/>
        </w:rPr>
        <w:t>拥护中国共产党的领导，拥护社会主义制度，遵守宪法和法律，遵守学术规范，达到一定学术水平者，可按照本细则的有关规定申请相应的学位。</w:t>
      </w:r>
    </w:p>
    <w:p>
      <w:pPr>
        <w:widowControl/>
        <w:ind w:firstLine="643" w:firstLineChars="200"/>
        <w:rPr>
          <w:rFonts w:hint="default" w:ascii="Times New Roman" w:hAnsi="Times New Roman" w:eastAsia="黑体" w:cs="Times New Roman"/>
          <w:b/>
          <w:bCs/>
          <w:sz w:val="32"/>
          <w:szCs w:val="32"/>
        </w:rPr>
      </w:pPr>
      <w:r>
        <w:rPr>
          <w:rFonts w:hint="default" w:ascii="Times New Roman" w:hAnsi="Times New Roman" w:eastAsia="楷体" w:cs="Times New Roman"/>
          <w:b/>
          <w:sz w:val="32"/>
          <w:szCs w:val="32"/>
        </w:rPr>
        <w:t>第四条</w:t>
      </w:r>
      <w:r>
        <w:rPr>
          <w:rFonts w:hint="default" w:ascii="Times New Roman" w:hAnsi="Times New Roman" w:eastAsia="仿宋" w:cs="Times New Roman"/>
          <w:bCs/>
          <w:sz w:val="32"/>
          <w:szCs w:val="32"/>
        </w:rPr>
        <w:t xml:space="preserve">  </w:t>
      </w:r>
      <w:r>
        <w:rPr>
          <w:rFonts w:hint="default" w:ascii="Times New Roman" w:hAnsi="Times New Roman" w:eastAsia="仿宋_GB2312" w:cs="Times New Roman"/>
          <w:color w:val="000000"/>
          <w:sz w:val="32"/>
          <w:szCs w:val="32"/>
        </w:rPr>
        <w:t>学位申请者不得同时向另一个及以上学位授予单位提出申请，也不得以同一篇学位论文申请两个及以上学位。</w:t>
      </w:r>
      <w:r>
        <w:rPr>
          <w:rFonts w:hint="default" w:ascii="Times New Roman" w:hAnsi="Times New Roman" w:eastAsia="仿宋_GB2312" w:cs="Times New Roman"/>
          <w:sz w:val="32"/>
          <w:szCs w:val="32"/>
        </w:rPr>
        <w:t xml:space="preserve"> </w:t>
      </w:r>
    </w:p>
    <w:p>
      <w:pPr>
        <w:widowControl/>
        <w:spacing w:before="159" w:beforeLines="50" w:after="95" w:afterLines="3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第二章  学术水平要求</w:t>
      </w:r>
    </w:p>
    <w:p>
      <w:pPr>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 xml:space="preserve">第五条  </w:t>
      </w:r>
      <w:r>
        <w:rPr>
          <w:rFonts w:hint="default" w:ascii="Times New Roman" w:hAnsi="Times New Roman" w:eastAsia="仿宋_GB2312" w:cs="Times New Roman"/>
          <w:color w:val="000000"/>
          <w:sz w:val="32"/>
          <w:szCs w:val="32"/>
        </w:rPr>
        <w:t>硕士学位的学术水平</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攻读硕士学位的研究生，或具有研究生毕业同等学力的人员，完成培养计划所规定的全部学习任务，成绩合格，并修满规定学分，通过学位论文答辩，遵守学术道德规范，达到下述学术水平者，授予硕士学位：</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（一）掌握本门学科坚实的基础理论和系统的专门知识；</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（二）具有从事科学研究工作或独立担负专门技术工作的能力；</w:t>
      </w:r>
    </w:p>
    <w:p>
      <w:pPr>
        <w:ind w:firstLine="640" w:firstLineChars="200"/>
        <w:rPr>
          <w:rFonts w:hint="default" w:ascii="Times New Roman" w:hAnsi="Times New Roman" w:eastAsia="仿宋" w:cs="Times New Roman"/>
          <w:sz w:val="32"/>
          <w:szCs w:val="32"/>
        </w:rPr>
      </w:pPr>
      <w:r>
        <w:rPr>
          <w:rFonts w:hint="default" w:ascii="Times New Roman" w:hAnsi="Times New Roman" w:eastAsia="仿宋_GB2312" w:cs="Times New Roman"/>
          <w:color w:val="000000"/>
          <w:sz w:val="32"/>
          <w:szCs w:val="32"/>
        </w:rPr>
        <w:t>（三）能比较熟练地运用一种外国语阅读本专业的外文资料。</w:t>
      </w:r>
    </w:p>
    <w:p>
      <w:pPr>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 xml:space="preserve">第六条 </w:t>
      </w:r>
      <w:r>
        <w:rPr>
          <w:rFonts w:hint="default" w:ascii="Times New Roman" w:hAnsi="Times New Roman" w:eastAsia="仿宋_GB2312" w:cs="Times New Roman"/>
          <w:color w:val="000000"/>
          <w:sz w:val="32"/>
          <w:szCs w:val="32"/>
        </w:rPr>
        <w:t xml:space="preserve"> 博士学位的学术水平</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 xml:space="preserve">攻读博士学位的研究生，完成培养计划所规定的全部学习任务，成绩合格，并修满规定学分，通过学位论文答辩，遵守学术道德规范，达到下述学术水平者，授予博士学位：   </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（一）掌握本门学科坚实宽广的基础理论和系统深入的专门知识；</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（二）具有独立从事科学研究工作的能力；</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（三）在科学或专门技术上做出创新性的成果，对经济建设和社会发展具有较大的理论意义和实际价值；</w:t>
      </w:r>
    </w:p>
    <w:p>
      <w:pPr>
        <w:ind w:firstLine="640" w:firstLineChars="200"/>
        <w:rPr>
          <w:rFonts w:hint="default" w:ascii="Times New Roman" w:hAnsi="Times New Roman" w:eastAsia="仿宋" w:cs="Times New Roman"/>
          <w:b/>
          <w:bCs/>
          <w:sz w:val="32"/>
          <w:szCs w:val="32"/>
        </w:rPr>
      </w:pPr>
      <w:r>
        <w:rPr>
          <w:rFonts w:hint="default" w:ascii="Times New Roman" w:hAnsi="Times New Roman" w:eastAsia="仿宋_GB2312" w:cs="Times New Roman"/>
          <w:color w:val="000000"/>
          <w:sz w:val="32"/>
          <w:szCs w:val="32"/>
        </w:rPr>
        <w:t>（四）能运用第一外国语熟练地阅读本专业的外文资料、撰写专业文章及参加学术交流活动。</w:t>
      </w:r>
    </w:p>
    <w:p>
      <w:pPr>
        <w:widowControl/>
        <w:spacing w:before="159" w:beforeLines="50" w:after="95" w:afterLines="3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第三章  学位论文的基本要求</w:t>
      </w:r>
    </w:p>
    <w:p>
      <w:pPr>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第七条</w:t>
      </w:r>
      <w:r>
        <w:rPr>
          <w:rFonts w:hint="default" w:ascii="Times New Roman" w:hAnsi="Times New Roman" w:eastAsia="仿宋" w:cs="Times New Roman"/>
          <w:b/>
          <w:bCs/>
          <w:sz w:val="32"/>
          <w:szCs w:val="32"/>
        </w:rPr>
        <w:t xml:space="preserve">  </w:t>
      </w:r>
      <w:r>
        <w:rPr>
          <w:rFonts w:hint="default" w:ascii="Times New Roman" w:hAnsi="Times New Roman" w:eastAsia="仿宋_GB2312" w:cs="Times New Roman"/>
          <w:color w:val="000000"/>
          <w:sz w:val="32"/>
          <w:szCs w:val="32"/>
        </w:rPr>
        <w:t>学位论文的格式</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学位论文应由申请者在导师指导下独立完成，与他人合作的研究工作，只能将本人完成部分用于论文；其选题应属于申请学位的学科、专业范畴。学位论文一般应使用规范汉字撰写。论文撰写按《广西中医药大学研究生学位论文写作规范》执行。</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学位论文中如引用他人的论点或数据必须要注明出处，引用合作者的观点或研究成果时，要加注说明，否则将被视为剽窃行为。</w:t>
      </w:r>
    </w:p>
    <w:p>
      <w:pPr>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第八条</w:t>
      </w:r>
      <w:r>
        <w:rPr>
          <w:rFonts w:hint="default" w:ascii="Times New Roman" w:hAnsi="Times New Roman" w:eastAsia="仿宋" w:cs="Times New Roman"/>
          <w:b/>
          <w:sz w:val="32"/>
          <w:szCs w:val="32"/>
        </w:rPr>
        <w:t xml:space="preserve">  </w:t>
      </w:r>
      <w:r>
        <w:rPr>
          <w:rFonts w:hint="default" w:ascii="Times New Roman" w:hAnsi="Times New Roman" w:eastAsia="仿宋_GB2312" w:cs="Times New Roman"/>
          <w:color w:val="000000"/>
          <w:sz w:val="32"/>
          <w:szCs w:val="32"/>
        </w:rPr>
        <w:t>硕士学位论文的基本要求</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硕士学术学位论文</w:t>
      </w:r>
      <w:r>
        <w:rPr>
          <w:rFonts w:hint="eastAsia" w:ascii="Times New Roman" w:hAnsi="Times New Roman" w:eastAsia="仿宋_GB2312" w:cs="Times New Roman"/>
          <w:color w:val="000000"/>
          <w:sz w:val="32"/>
          <w:szCs w:val="32"/>
          <w:lang w:val="en-US" w:eastAsia="zh-CN"/>
        </w:rPr>
        <w:t>正文</w:t>
      </w:r>
      <w:r>
        <w:rPr>
          <w:rFonts w:hint="default" w:ascii="Times New Roman" w:hAnsi="Times New Roman" w:eastAsia="仿宋_GB2312" w:cs="Times New Roman"/>
          <w:color w:val="000000"/>
          <w:sz w:val="32"/>
          <w:szCs w:val="32"/>
        </w:rPr>
        <w:t>一般为3万字以上，专业学位论文</w:t>
      </w:r>
      <w:r>
        <w:rPr>
          <w:rFonts w:hint="eastAsia" w:ascii="Times New Roman" w:hAnsi="Times New Roman" w:eastAsia="仿宋_GB2312" w:cs="Times New Roman"/>
          <w:color w:val="000000"/>
          <w:sz w:val="32"/>
          <w:szCs w:val="32"/>
          <w:lang w:val="en-US" w:eastAsia="zh-CN"/>
        </w:rPr>
        <w:t>正文</w:t>
      </w:r>
      <w:r>
        <w:rPr>
          <w:rFonts w:hint="default" w:ascii="Times New Roman" w:hAnsi="Times New Roman" w:eastAsia="仿宋_GB2312" w:cs="Times New Roman"/>
          <w:color w:val="000000"/>
          <w:sz w:val="32"/>
          <w:szCs w:val="32"/>
        </w:rPr>
        <w:t>一般为2万字以上。论文水平应达到下列要求：</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一</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学位论文应具有一定的创新性，论文的基本科学论点、结论应在科学、技术、国民经济建设或社会其它方面具有一定的理论指导意义和实际应用价值；</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二</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 xml:space="preserve">应反映出作者具有从事科学研究工作或担负专门技术工作的能力；论文结构逻辑性强，引证资料翔实，书写规范，文字表述准确流畅； </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三</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反映作者已掌握本学科坚实的基础理论和系统的专门知识；</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四</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其他要求详见《广西中医药大学研究生学位论文基本要求与评价指标》。</w:t>
      </w:r>
    </w:p>
    <w:p>
      <w:pPr>
        <w:ind w:firstLine="643" w:firstLineChars="200"/>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第九条</w:t>
      </w:r>
      <w:r>
        <w:rPr>
          <w:rFonts w:hint="default" w:ascii="Times New Roman" w:hAnsi="Times New Roman" w:eastAsia="仿宋" w:cs="Times New Roman"/>
          <w:b/>
          <w:sz w:val="32"/>
          <w:szCs w:val="32"/>
        </w:rPr>
        <w:t xml:space="preserve">  </w:t>
      </w:r>
      <w:r>
        <w:rPr>
          <w:rFonts w:hint="default" w:ascii="Times New Roman" w:hAnsi="Times New Roman" w:eastAsia="仿宋_GB2312" w:cs="Times New Roman"/>
          <w:color w:val="000000"/>
          <w:sz w:val="32"/>
          <w:szCs w:val="32"/>
        </w:rPr>
        <w:t>博士学位论文的基本要求</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博士学术学位论文正文一般为5万字以上, 博士专业学位论文正文一般在4万字以上。论文水平应达到下列要求：</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（一）选题具有前沿性和开创性；</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（二）在学科或专门技术上做出创造性的成果，科学、技术、国民经济建设或社会其它方面有较大的理论和实践意义；</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（三）论文应体现作者掌握本研究领域的方法和技能，具有较强的分析问题和解决问题的能力，能独立进行科学研究工作等要求；</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（四）反映作者已掌握本学科坚实宽广的基础理论和系统深入的专门知识。</w:t>
      </w:r>
    </w:p>
    <w:p>
      <w:pPr>
        <w:widowControl/>
        <w:spacing w:before="159" w:beforeLines="50" w:after="95" w:afterLines="3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第四章  论文答辩与学位申请</w:t>
      </w:r>
    </w:p>
    <w:p>
      <w:pPr>
        <w:ind w:firstLine="643" w:firstLineChars="200"/>
        <w:jc w:val="left"/>
        <w:rPr>
          <w:rFonts w:hint="default" w:ascii="Times New Roman" w:hAnsi="Times New Roman" w:eastAsia="仿宋" w:cs="Times New Roman"/>
          <w:bCs/>
          <w:sz w:val="32"/>
          <w:szCs w:val="32"/>
        </w:rPr>
      </w:pPr>
      <w:r>
        <w:rPr>
          <w:rFonts w:hint="default" w:ascii="Times New Roman" w:hAnsi="Times New Roman" w:eastAsia="楷体" w:cs="Times New Roman"/>
          <w:b/>
          <w:sz w:val="32"/>
          <w:szCs w:val="32"/>
        </w:rPr>
        <w:t>第十条</w:t>
      </w:r>
      <w:r>
        <w:rPr>
          <w:rFonts w:hint="default" w:ascii="Times New Roman" w:hAnsi="Times New Roman" w:eastAsia="仿宋" w:cs="Times New Roman"/>
          <w:bCs/>
          <w:sz w:val="32"/>
          <w:szCs w:val="32"/>
        </w:rPr>
        <w:t xml:space="preserve">  </w:t>
      </w:r>
      <w:r>
        <w:rPr>
          <w:rFonts w:hint="default" w:ascii="Times New Roman" w:hAnsi="Times New Roman" w:eastAsia="仿宋_GB2312" w:cs="Times New Roman"/>
          <w:color w:val="000000"/>
          <w:sz w:val="32"/>
          <w:szCs w:val="32"/>
        </w:rPr>
        <w:t>硕士、博士研究生（含以同等学力申请硕士学位人员），完成培养计划所规定的全部学习任务，成绩合格，并修满规定学分，方可申请学位论文答辩。学位论文答辩通过后，学位申请人提交学位申请表，经学位评定分委员会审议后报校学位评定委员会办公室。</w:t>
      </w:r>
    </w:p>
    <w:p>
      <w:pPr>
        <w:widowControl/>
        <w:spacing w:before="159" w:beforeLines="50" w:after="95" w:afterLines="3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第五章  学位评定与授予</w:t>
      </w:r>
    </w:p>
    <w:p>
      <w:pPr>
        <w:ind w:firstLine="643" w:firstLineChars="200"/>
        <w:jc w:val="left"/>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 xml:space="preserve">第十一条  </w:t>
      </w:r>
      <w:r>
        <w:rPr>
          <w:rFonts w:hint="default" w:ascii="Times New Roman" w:hAnsi="Times New Roman" w:eastAsia="仿宋_GB2312" w:cs="Times New Roman"/>
          <w:color w:val="000000"/>
          <w:sz w:val="32"/>
          <w:szCs w:val="32"/>
        </w:rPr>
        <w:t>学位评定分委员会审核</w:t>
      </w:r>
    </w:p>
    <w:p>
      <w:pPr>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学位评定分委员会对教研室（学科）上报的材料进行审核，对建议授予硕士或博士学位的申请人，要逐个对其思想品德表现、课程考试和论文答辩等情况进行全面的审核。重点审核评阅人和答辩委员会建议修改后重新答辩和有争议的材料。学位评定分委员会做出授予学位或修改论文重新答辩的建议时，必须召开会议，到会委员应达到全体委员的三分之二及以上，以无记名投票方式，获全体委员二分之一以上通过，方为有效。</w:t>
      </w:r>
    </w:p>
    <w:p>
      <w:pPr>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学位评定分委员会应将审核的材料（含通过和未通过）上报校学位评定委员会审批。</w:t>
      </w:r>
    </w:p>
    <w:p>
      <w:pPr>
        <w:ind w:firstLine="643" w:firstLineChars="200"/>
        <w:jc w:val="left"/>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 xml:space="preserve">第十二条  </w:t>
      </w:r>
      <w:r>
        <w:rPr>
          <w:rFonts w:hint="default" w:ascii="Times New Roman" w:hAnsi="Times New Roman" w:eastAsia="仿宋_GB2312" w:cs="Times New Roman"/>
          <w:color w:val="000000"/>
          <w:sz w:val="32"/>
          <w:szCs w:val="32"/>
        </w:rPr>
        <w:t>校学位评定委员会审批</w:t>
      </w:r>
    </w:p>
    <w:p>
      <w:pPr>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校学位评定委员会对学位评定分委员会审核上报的名单和材料进行审核，重点审核学位评定分委员会建议修改后重新答辩或有争议的材料。</w:t>
      </w:r>
    </w:p>
    <w:p>
      <w:pPr>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校学位评定委员会做出授予学位或修改论文重新答辩的决议时，必须召开会议，到会委员应达到全体委员的三分之二及以上，以无记名投票方式，获全体委员二分之一以上通过，方为有效。</w:t>
      </w:r>
    </w:p>
    <w:p>
      <w:pPr>
        <w:ind w:firstLine="643" w:firstLineChars="200"/>
        <w:jc w:val="left"/>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 xml:space="preserve">第十三条  </w:t>
      </w:r>
      <w:r>
        <w:rPr>
          <w:rFonts w:hint="default" w:ascii="Times New Roman" w:hAnsi="Times New Roman" w:eastAsia="仿宋_GB2312" w:cs="Times New Roman"/>
          <w:color w:val="000000"/>
          <w:sz w:val="32"/>
          <w:szCs w:val="32"/>
        </w:rPr>
        <w:t>缓授学位</w:t>
      </w:r>
    </w:p>
    <w:p>
      <w:pPr>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凡通过学位论文答辩，达到毕业要求，但未通过中医住院医师规范化培训结业考核的中医硕士专业学位研究生，可按期毕业，但暂不授予学位，允许其在毕业后3年内取得《中医住院医师规范化培训合格证书》后申请学位。毕业后3年内仍未取得《中医住院医师规范化培训合格证书》者，取消申请学位资格。</w:t>
      </w:r>
    </w:p>
    <w:p>
      <w:pPr>
        <w:ind w:firstLine="643" w:firstLineChars="200"/>
        <w:jc w:val="left"/>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第十四条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color w:val="000000"/>
          <w:sz w:val="32"/>
          <w:szCs w:val="32"/>
        </w:rPr>
        <w:t>不授学位</w:t>
      </w:r>
    </w:p>
    <w:p>
      <w:pPr>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有下列行为之一者，经校学位评定委员会认定情节严重的，不授予相应学位：</w:t>
      </w:r>
    </w:p>
    <w:p>
      <w:pPr>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（一）抄袭、剽窃他人学术成果者；</w:t>
      </w:r>
    </w:p>
    <w:p>
      <w:pPr>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（二）伪造或篡改研究成果、实验数据者；</w:t>
      </w:r>
    </w:p>
    <w:p>
      <w:pPr>
        <w:ind w:firstLine="640" w:firstLineChars="200"/>
        <w:jc w:val="left"/>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（三）在校期间，违反校纪校规、考试纪律等受到记过以上处分（含）</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未解除处分者；</w:t>
      </w:r>
    </w:p>
    <w:p>
      <w:pPr>
        <w:ind w:firstLine="640" w:firstLineChars="200"/>
        <w:jc w:val="left"/>
        <w:rPr>
          <w:rFonts w:hint="default" w:ascii="Times New Roman" w:hAnsi="Times New Roman" w:eastAsia="仿宋" w:cs="Times New Roman"/>
          <w:sz w:val="32"/>
          <w:szCs w:val="32"/>
        </w:rPr>
      </w:pPr>
      <w:r>
        <w:rPr>
          <w:rFonts w:hint="default" w:ascii="Times New Roman" w:hAnsi="Times New Roman" w:eastAsia="仿宋_GB2312" w:cs="Times New Roman"/>
          <w:color w:val="000000"/>
          <w:sz w:val="32"/>
          <w:szCs w:val="32"/>
        </w:rPr>
        <w:t>（四）由于其他原因学位评定委员会认为不适宜授予学位者。</w:t>
      </w:r>
    </w:p>
    <w:p>
      <w:pPr>
        <w:ind w:firstLine="643" w:firstLineChars="200"/>
        <w:jc w:val="left"/>
        <w:rPr>
          <w:rFonts w:hint="default" w:ascii="Times New Roman" w:hAnsi="Times New Roman" w:eastAsia="仿宋_GB2312" w:cs="Times New Roman"/>
          <w:sz w:val="32"/>
          <w:szCs w:val="32"/>
        </w:rPr>
      </w:pPr>
      <w:r>
        <w:rPr>
          <w:rFonts w:hint="default" w:ascii="Times New Roman" w:hAnsi="Times New Roman" w:eastAsia="楷体" w:cs="Times New Roman"/>
          <w:b/>
          <w:sz w:val="32"/>
          <w:szCs w:val="32"/>
        </w:rPr>
        <w:t>第十五条</w:t>
      </w:r>
      <w:r>
        <w:rPr>
          <w:rFonts w:hint="default" w:ascii="Times New Roman" w:hAnsi="Times New Roman" w:eastAsia="仿宋" w:cs="Times New Roman"/>
          <w:b/>
          <w:sz w:val="32"/>
          <w:szCs w:val="32"/>
        </w:rPr>
        <w:t xml:space="preserve">  </w:t>
      </w:r>
      <w:r>
        <w:rPr>
          <w:rFonts w:hint="default" w:ascii="Times New Roman" w:hAnsi="Times New Roman" w:eastAsia="仿宋_GB2312" w:cs="Times New Roman"/>
          <w:color w:val="000000"/>
          <w:sz w:val="32"/>
          <w:szCs w:val="32"/>
        </w:rPr>
        <w:t>学校每年适时举行学位授予仪式，为硕士学位和博士学位获得者颁发学位证书。</w:t>
      </w:r>
    </w:p>
    <w:p>
      <w:pPr>
        <w:widowControl/>
        <w:spacing w:before="159" w:beforeLines="50" w:after="95" w:afterLines="3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第六章  名誉博士学位</w:t>
      </w:r>
    </w:p>
    <w:p>
      <w:pPr>
        <w:ind w:firstLine="643" w:firstLineChars="200"/>
        <w:jc w:val="left"/>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第十六条</w:t>
      </w:r>
      <w:r>
        <w:rPr>
          <w:rFonts w:hint="default" w:ascii="Times New Roman" w:hAnsi="Times New Roman" w:eastAsia="仿宋" w:cs="Times New Roman"/>
          <w:b/>
          <w:sz w:val="32"/>
          <w:szCs w:val="32"/>
        </w:rPr>
        <w:t xml:space="preserve">  </w:t>
      </w:r>
      <w:r>
        <w:rPr>
          <w:rFonts w:hint="default" w:ascii="Times New Roman" w:hAnsi="Times New Roman" w:eastAsia="仿宋_GB2312" w:cs="Times New Roman"/>
          <w:color w:val="000000"/>
          <w:sz w:val="32"/>
          <w:szCs w:val="32"/>
        </w:rPr>
        <w:t>对于国内外卓越的学者或著名的社会活动家，经校学位评定委员会讨论通过，报国务院学位委员会批准，授予名誉博士学位。</w:t>
      </w:r>
    </w:p>
    <w:p>
      <w:pPr>
        <w:widowControl/>
        <w:spacing w:before="159" w:beforeLines="50" w:after="95" w:afterLines="3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第七章  其他规定</w:t>
      </w:r>
    </w:p>
    <w:p>
      <w:pPr>
        <w:ind w:firstLine="643" w:firstLineChars="200"/>
        <w:jc w:val="left"/>
        <w:rPr>
          <w:rFonts w:hint="default" w:ascii="Times New Roman" w:hAnsi="Times New Roman" w:eastAsia="仿宋" w:cs="Times New Roman"/>
          <w:sz w:val="32"/>
          <w:szCs w:val="32"/>
        </w:rPr>
      </w:pPr>
      <w:r>
        <w:rPr>
          <w:rFonts w:hint="default" w:ascii="Times New Roman" w:hAnsi="Times New Roman" w:eastAsia="楷体" w:cs="Times New Roman"/>
          <w:b/>
          <w:sz w:val="32"/>
          <w:szCs w:val="32"/>
        </w:rPr>
        <w:t>第十七条</w:t>
      </w:r>
      <w:r>
        <w:rPr>
          <w:rFonts w:hint="default" w:ascii="Times New Roman" w:hAnsi="Times New Roman" w:eastAsia="仿宋" w:cs="Times New Roman"/>
          <w:b/>
          <w:sz w:val="32"/>
          <w:szCs w:val="32"/>
        </w:rPr>
        <w:t xml:space="preserve">  </w:t>
      </w:r>
      <w:r>
        <w:rPr>
          <w:rFonts w:hint="default" w:ascii="Times New Roman" w:hAnsi="Times New Roman" w:eastAsia="仿宋_GB2312" w:cs="Times New Roman"/>
          <w:color w:val="000000"/>
          <w:sz w:val="32"/>
          <w:szCs w:val="32"/>
        </w:rPr>
        <w:t>对于已经授予的学位，如发现学位论文有伪造、剽窃、买卖、代写等严重学术不端的情况，经校学位评定委员会复议后，可做撤销其学位。</w:t>
      </w:r>
    </w:p>
    <w:p>
      <w:pPr>
        <w:ind w:firstLine="643" w:firstLineChars="200"/>
        <w:jc w:val="left"/>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第十八条</w:t>
      </w:r>
      <w:r>
        <w:rPr>
          <w:rFonts w:hint="default" w:ascii="Times New Roman" w:hAnsi="Times New Roman" w:eastAsia="仿宋" w:cs="Times New Roman"/>
          <w:b/>
          <w:sz w:val="32"/>
          <w:szCs w:val="32"/>
        </w:rPr>
        <w:t xml:space="preserve">  </w:t>
      </w:r>
      <w:r>
        <w:rPr>
          <w:rFonts w:hint="default" w:ascii="Times New Roman" w:hAnsi="Times New Roman" w:eastAsia="仿宋_GB2312" w:cs="Times New Roman"/>
          <w:color w:val="000000"/>
          <w:sz w:val="32"/>
          <w:szCs w:val="32"/>
        </w:rPr>
        <w:t>在职人员以同等学力申请硕士学位其它要求见《广西中医药大学开展同等学力人员申请硕士学位工作实施细则》。</w:t>
      </w:r>
    </w:p>
    <w:p>
      <w:pPr>
        <w:ind w:firstLine="643" w:firstLineChars="200"/>
        <w:jc w:val="left"/>
        <w:rPr>
          <w:rFonts w:hint="default" w:ascii="Times New Roman" w:hAnsi="Times New Roman" w:eastAsia="仿宋" w:cs="Times New Roman"/>
          <w:sz w:val="32"/>
          <w:szCs w:val="32"/>
        </w:rPr>
      </w:pPr>
      <w:r>
        <w:rPr>
          <w:rFonts w:hint="default" w:ascii="Times New Roman" w:hAnsi="Times New Roman" w:eastAsia="楷体" w:cs="Times New Roman"/>
          <w:b/>
          <w:sz w:val="32"/>
          <w:szCs w:val="32"/>
        </w:rPr>
        <w:t>第十九条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color w:val="000000"/>
          <w:sz w:val="32"/>
          <w:szCs w:val="32"/>
        </w:rPr>
        <w:t>申请中医硕士专业学位的其它要求见《广西中医药大学开展中医硕士专业学位工作实施细则》。</w:t>
      </w:r>
    </w:p>
    <w:p>
      <w:pPr>
        <w:ind w:firstLine="643" w:firstLineChars="200"/>
        <w:jc w:val="left"/>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第二十条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color w:val="000000"/>
          <w:sz w:val="32"/>
          <w:szCs w:val="32"/>
        </w:rPr>
        <w:t>学校学位评定委员</w:t>
      </w:r>
      <w:bookmarkStart w:id="0" w:name="_GoBack"/>
      <w:bookmarkEnd w:id="0"/>
      <w:r>
        <w:rPr>
          <w:rFonts w:hint="default" w:ascii="Times New Roman" w:hAnsi="Times New Roman" w:eastAsia="仿宋_GB2312" w:cs="Times New Roman"/>
          <w:color w:val="000000"/>
          <w:sz w:val="32"/>
          <w:szCs w:val="32"/>
        </w:rPr>
        <w:t>分别于每年1月份和6月份分两次审议博士、硕士学位授予事宜。</w:t>
      </w:r>
    </w:p>
    <w:p>
      <w:pPr>
        <w:ind w:firstLine="643" w:firstLineChars="200"/>
        <w:jc w:val="left"/>
        <w:rPr>
          <w:rFonts w:hint="default" w:ascii="Times New Roman" w:hAnsi="Times New Roman" w:eastAsia="仿宋" w:cs="Times New Roman"/>
          <w:sz w:val="32"/>
          <w:szCs w:val="32"/>
        </w:rPr>
      </w:pPr>
      <w:r>
        <w:rPr>
          <w:rFonts w:hint="default" w:ascii="Times New Roman" w:hAnsi="Times New Roman" w:eastAsia="楷体" w:cs="Times New Roman"/>
          <w:b/>
          <w:sz w:val="32"/>
          <w:szCs w:val="32"/>
        </w:rPr>
        <w:t>第二十一条</w:t>
      </w:r>
      <w:r>
        <w:rPr>
          <w:rFonts w:hint="default" w:ascii="Times New Roman" w:hAnsi="Times New Roman" w:eastAsia="仿宋" w:cs="Times New Roman"/>
          <w:sz w:val="32"/>
          <w:szCs w:val="32"/>
        </w:rPr>
        <w:t xml:space="preserve">  </w:t>
      </w:r>
      <w:r>
        <w:rPr>
          <w:rFonts w:hint="default" w:ascii="Times New Roman" w:hAnsi="Times New Roman" w:eastAsia="仿宋_GB2312" w:cs="Times New Roman"/>
          <w:color w:val="000000"/>
          <w:sz w:val="32"/>
          <w:szCs w:val="32"/>
        </w:rPr>
        <w:t>学位证书由校学位评定委员会主席签发证书的生效日，从校学位评定委员会做出授予学位决定之日开始。</w:t>
      </w:r>
    </w:p>
    <w:p>
      <w:pPr>
        <w:ind w:firstLine="643" w:firstLineChars="200"/>
        <w:jc w:val="left"/>
        <w:rPr>
          <w:rFonts w:hint="default" w:ascii="Times New Roman" w:hAnsi="Times New Roman" w:eastAsia="仿宋_GB2312" w:cs="Times New Roman"/>
          <w:color w:val="000000"/>
          <w:sz w:val="32"/>
          <w:szCs w:val="32"/>
        </w:rPr>
      </w:pPr>
      <w:r>
        <w:rPr>
          <w:rFonts w:hint="default" w:ascii="Times New Roman" w:hAnsi="Times New Roman" w:eastAsia="楷体" w:cs="Times New Roman"/>
          <w:b/>
          <w:sz w:val="32"/>
          <w:szCs w:val="32"/>
        </w:rPr>
        <w:t xml:space="preserve">第二十二条  </w:t>
      </w:r>
      <w:r>
        <w:rPr>
          <w:rFonts w:hint="default" w:ascii="Times New Roman" w:hAnsi="Times New Roman" w:eastAsia="仿宋_GB2312" w:cs="Times New Roman"/>
          <w:color w:val="000000"/>
          <w:sz w:val="32"/>
          <w:szCs w:val="32"/>
        </w:rPr>
        <w:t>本实施细则</w:t>
      </w:r>
      <w:r>
        <w:rPr>
          <w:rFonts w:hint="default" w:ascii="Times New Roman" w:hAnsi="Times New Roman" w:eastAsia="仿宋_GB2312" w:cs="Times New Roman"/>
          <w:color w:val="000000"/>
          <w:sz w:val="32"/>
          <w:szCs w:val="32"/>
          <w:lang w:val="en-US" w:eastAsia="zh-CN"/>
        </w:rPr>
        <w:t>自下文之日起执行</w:t>
      </w:r>
      <w:r>
        <w:rPr>
          <w:rFonts w:hint="default" w:ascii="Times New Roman" w:hAnsi="Times New Roman" w:eastAsia="仿宋_GB2312" w:cs="Times New Roman"/>
          <w:color w:val="000000"/>
          <w:sz w:val="32"/>
          <w:szCs w:val="32"/>
        </w:rPr>
        <w:t>，由研究生院负责解释。</w:t>
      </w:r>
    </w:p>
    <w:p>
      <w:pPr>
        <w:ind w:firstLine="3840" w:firstLineChars="1200"/>
        <w:jc w:val="left"/>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本细则于2019年8月12日下文</w:t>
      </w:r>
      <w:r>
        <w:rPr>
          <w:rFonts w:hint="eastAsia" w:ascii="Times New Roman" w:hAnsi="Times New Roman" w:eastAsia="仿宋_GB2312" w:cs="Times New Roman"/>
          <w:color w:val="000000"/>
          <w:sz w:val="32"/>
          <w:szCs w:val="32"/>
          <w:lang w:eastAsia="zh-CN"/>
        </w:rPr>
        <w:t>）</w:t>
      </w:r>
    </w:p>
    <w:sectPr>
      <w:footerReference r:id="rId3" w:type="default"/>
      <w:pgSz w:w="11906" w:h="16838"/>
      <w:pgMar w:top="2098" w:right="1474" w:bottom="1984" w:left="1587"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- 5 -</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E7BCA"/>
    <w:rsid w:val="000428C2"/>
    <w:rsid w:val="0009575B"/>
    <w:rsid w:val="000E7BCA"/>
    <w:rsid w:val="00174F8C"/>
    <w:rsid w:val="00203790"/>
    <w:rsid w:val="00213046"/>
    <w:rsid w:val="00223AA3"/>
    <w:rsid w:val="0024525A"/>
    <w:rsid w:val="002952B9"/>
    <w:rsid w:val="0031106F"/>
    <w:rsid w:val="003113F7"/>
    <w:rsid w:val="00342D3E"/>
    <w:rsid w:val="00364B58"/>
    <w:rsid w:val="003822A6"/>
    <w:rsid w:val="0039094E"/>
    <w:rsid w:val="003924B8"/>
    <w:rsid w:val="003F4E46"/>
    <w:rsid w:val="00457D59"/>
    <w:rsid w:val="004E4E0C"/>
    <w:rsid w:val="00500470"/>
    <w:rsid w:val="00536FAF"/>
    <w:rsid w:val="005668BC"/>
    <w:rsid w:val="0058344D"/>
    <w:rsid w:val="00597438"/>
    <w:rsid w:val="005F5920"/>
    <w:rsid w:val="00606AF0"/>
    <w:rsid w:val="006347EC"/>
    <w:rsid w:val="00684EB5"/>
    <w:rsid w:val="00691AB0"/>
    <w:rsid w:val="00700748"/>
    <w:rsid w:val="00722F1A"/>
    <w:rsid w:val="00735865"/>
    <w:rsid w:val="00744207"/>
    <w:rsid w:val="00752CA4"/>
    <w:rsid w:val="007A3D0F"/>
    <w:rsid w:val="007D1050"/>
    <w:rsid w:val="00810CF8"/>
    <w:rsid w:val="00824D76"/>
    <w:rsid w:val="0087758B"/>
    <w:rsid w:val="00886317"/>
    <w:rsid w:val="008A23BC"/>
    <w:rsid w:val="008D5480"/>
    <w:rsid w:val="008F191D"/>
    <w:rsid w:val="00947E5E"/>
    <w:rsid w:val="009519BD"/>
    <w:rsid w:val="009623CF"/>
    <w:rsid w:val="009B0061"/>
    <w:rsid w:val="009D23F9"/>
    <w:rsid w:val="009F1FBE"/>
    <w:rsid w:val="00A04EF5"/>
    <w:rsid w:val="00A44E10"/>
    <w:rsid w:val="00A7577C"/>
    <w:rsid w:val="00AB3CF5"/>
    <w:rsid w:val="00AF5686"/>
    <w:rsid w:val="00B22FF2"/>
    <w:rsid w:val="00B232D5"/>
    <w:rsid w:val="00B2470C"/>
    <w:rsid w:val="00B4276A"/>
    <w:rsid w:val="00B94A1F"/>
    <w:rsid w:val="00BE60F9"/>
    <w:rsid w:val="00BE659A"/>
    <w:rsid w:val="00C802D6"/>
    <w:rsid w:val="00C85F53"/>
    <w:rsid w:val="00CA317E"/>
    <w:rsid w:val="00CB2CBD"/>
    <w:rsid w:val="00CE6327"/>
    <w:rsid w:val="00D04514"/>
    <w:rsid w:val="00D60695"/>
    <w:rsid w:val="00DF6F39"/>
    <w:rsid w:val="00ED75BF"/>
    <w:rsid w:val="00EF37E6"/>
    <w:rsid w:val="00F101E9"/>
    <w:rsid w:val="00F504E2"/>
    <w:rsid w:val="00FD5736"/>
    <w:rsid w:val="0331375D"/>
    <w:rsid w:val="06DD463A"/>
    <w:rsid w:val="076968CB"/>
    <w:rsid w:val="09445BFB"/>
    <w:rsid w:val="0AC07E76"/>
    <w:rsid w:val="127F7081"/>
    <w:rsid w:val="12C23868"/>
    <w:rsid w:val="16044427"/>
    <w:rsid w:val="16DE45BC"/>
    <w:rsid w:val="1806620F"/>
    <w:rsid w:val="183E6BAD"/>
    <w:rsid w:val="1C075B61"/>
    <w:rsid w:val="1D9A0561"/>
    <w:rsid w:val="1E975D62"/>
    <w:rsid w:val="1EB25D62"/>
    <w:rsid w:val="242B279D"/>
    <w:rsid w:val="24867B5D"/>
    <w:rsid w:val="253D77AD"/>
    <w:rsid w:val="26322F8F"/>
    <w:rsid w:val="28D97E67"/>
    <w:rsid w:val="290B07B5"/>
    <w:rsid w:val="2A21149E"/>
    <w:rsid w:val="2D0A5F84"/>
    <w:rsid w:val="2D9603A2"/>
    <w:rsid w:val="2F8D2CD9"/>
    <w:rsid w:val="301C1642"/>
    <w:rsid w:val="343E3B4A"/>
    <w:rsid w:val="34FF0776"/>
    <w:rsid w:val="35573CD5"/>
    <w:rsid w:val="367658BF"/>
    <w:rsid w:val="373A07BE"/>
    <w:rsid w:val="38F534F8"/>
    <w:rsid w:val="39495901"/>
    <w:rsid w:val="3A9149D3"/>
    <w:rsid w:val="3A92162E"/>
    <w:rsid w:val="3BE1272A"/>
    <w:rsid w:val="3C9F542F"/>
    <w:rsid w:val="3DAA4A13"/>
    <w:rsid w:val="3F366784"/>
    <w:rsid w:val="3FD37256"/>
    <w:rsid w:val="40A85033"/>
    <w:rsid w:val="41FE35F7"/>
    <w:rsid w:val="43E40DC3"/>
    <w:rsid w:val="44CA68E6"/>
    <w:rsid w:val="46342F5A"/>
    <w:rsid w:val="4766591A"/>
    <w:rsid w:val="488C4EF5"/>
    <w:rsid w:val="4A046313"/>
    <w:rsid w:val="4BCC20D7"/>
    <w:rsid w:val="4F52748C"/>
    <w:rsid w:val="507F3B58"/>
    <w:rsid w:val="51561DD6"/>
    <w:rsid w:val="541C633E"/>
    <w:rsid w:val="5B1A10B4"/>
    <w:rsid w:val="5CF232DC"/>
    <w:rsid w:val="5EC82459"/>
    <w:rsid w:val="6053789B"/>
    <w:rsid w:val="617C62AF"/>
    <w:rsid w:val="643E2506"/>
    <w:rsid w:val="64DB6495"/>
    <w:rsid w:val="66E629A3"/>
    <w:rsid w:val="67B76181"/>
    <w:rsid w:val="67E77BBB"/>
    <w:rsid w:val="69805985"/>
    <w:rsid w:val="6A300801"/>
    <w:rsid w:val="6A5D794A"/>
    <w:rsid w:val="6BD221EB"/>
    <w:rsid w:val="6E7801DD"/>
    <w:rsid w:val="730F7852"/>
    <w:rsid w:val="73FC72B7"/>
    <w:rsid w:val="74C84743"/>
    <w:rsid w:val="76CA3AB3"/>
    <w:rsid w:val="7847763D"/>
    <w:rsid w:val="7BA2521C"/>
    <w:rsid w:val="7C176A4D"/>
    <w:rsid w:val="7E477516"/>
    <w:rsid w:val="7EAA5377"/>
    <w:rsid w:val="7EFF27D9"/>
    <w:rsid w:val="7F454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qFormat/>
    <w:uiPriority w:val="0"/>
    <w:rPr>
      <w:b/>
    </w:rPr>
  </w:style>
  <w:style w:type="character" w:styleId="10">
    <w:name w:val="annotation reference"/>
    <w:basedOn w:val="8"/>
    <w:qFormat/>
    <w:uiPriority w:val="0"/>
    <w:rPr>
      <w:sz w:val="21"/>
      <w:szCs w:val="21"/>
    </w:rPr>
  </w:style>
  <w:style w:type="character" w:customStyle="1" w:styleId="11">
    <w:name w:val="批注框文本 Char"/>
    <w:basedOn w:val="8"/>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ACD4EC-CFC8-436C-97FF-D80AA5D4C893}">
  <ds:schemaRefs/>
</ds:datastoreItem>
</file>

<file path=docProps/app.xml><?xml version="1.0" encoding="utf-8"?>
<Properties xmlns="http://schemas.openxmlformats.org/officeDocument/2006/extended-properties" xmlns:vt="http://schemas.openxmlformats.org/officeDocument/2006/docPropsVTypes">
  <Template>Normal</Template>
  <Pages>9</Pages>
  <Words>502</Words>
  <Characters>2863</Characters>
  <Lines>23</Lines>
  <Paragraphs>6</Paragraphs>
  <TotalTime>10</TotalTime>
  <ScaleCrop>false</ScaleCrop>
  <LinksUpToDate>false</LinksUpToDate>
  <CharactersWithSpaces>3359</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2019-07-20T13:41:00Z</dcterms:created>
  <dc:creator>Administrator</dc:creator>
  <cp:lastModifiedBy>涓涓~~溪流</cp:lastModifiedBy>
  <dcterms:modified xsi:type="dcterms:W3CDTF">2020-08-04T03:14:28Z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KSORubyTemplateID">
    <vt:lpwstr>6</vt:lpwstr>
  </property>
</Properties>
</file>