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2F30D">
      <w:pPr>
        <w:spacing w:line="520" w:lineRule="exact"/>
        <w:jc w:val="both"/>
        <w:rPr>
          <w:rFonts w:hint="eastAsia" w:ascii="宋体" w:hAnsi="宋体" w:eastAsia="宋体" w:cs="宋体"/>
          <w:b/>
          <w:bCs/>
          <w:color w:val="auto"/>
          <w:kern w:val="0"/>
          <w:sz w:val="28"/>
          <w:szCs w:val="28"/>
          <w:highlight w:val="none"/>
          <w:shd w:val="clear" w:color="auto" w:fill="FFFFFF"/>
          <w:lang w:bidi="ar"/>
        </w:rPr>
      </w:pPr>
      <w:r>
        <w:rPr>
          <w:rFonts w:hint="eastAsia" w:ascii="宋体" w:hAnsi="宋体" w:eastAsia="宋体" w:cs="宋体"/>
          <w:b/>
          <w:bCs/>
          <w:color w:val="auto"/>
          <w:kern w:val="0"/>
          <w:sz w:val="28"/>
          <w:szCs w:val="28"/>
          <w:highlight w:val="none"/>
          <w:shd w:val="clear" w:color="auto" w:fill="FFFFFF"/>
          <w:lang w:bidi="ar"/>
        </w:rPr>
        <w:t>附件1：功能参数</w:t>
      </w:r>
    </w:p>
    <w:tbl>
      <w:tblPr>
        <w:tblStyle w:val="5"/>
        <w:tblW w:w="497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340"/>
        <w:gridCol w:w="5510"/>
        <w:gridCol w:w="891"/>
      </w:tblGrid>
      <w:tr w14:paraId="208FD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660BA99">
            <w:pPr>
              <w:tabs>
                <w:tab w:val="left" w:pos="2003"/>
              </w:tabs>
              <w:spacing w:line="360" w:lineRule="auto"/>
              <w:jc w:val="left"/>
              <w:rPr>
                <w:rFonts w:hint="eastAsia" w:ascii="宋体" w:hAnsi="宋体" w:cs="宋体"/>
                <w:b w:val="0"/>
                <w:bCs w:val="0"/>
                <w:sz w:val="24"/>
                <w:szCs w:val="24"/>
                <w:lang w:val="en-US" w:eastAsia="zh-CN"/>
              </w:rPr>
            </w:pPr>
            <w:r>
              <w:rPr>
                <w:rFonts w:hint="eastAsia" w:ascii="宋体" w:hAnsi="宋体" w:eastAsia="宋体" w:cs="宋体"/>
                <w:b/>
                <w:color w:val="auto"/>
                <w:sz w:val="24"/>
                <w:highlight w:val="none"/>
              </w:rPr>
              <w:t>一、</w:t>
            </w:r>
            <w:r>
              <w:rPr>
                <w:rFonts w:hint="eastAsia" w:ascii="宋体" w:hAnsi="宋体" w:eastAsia="宋体" w:cs="宋体"/>
                <w:b/>
                <w:bCs/>
                <w:color w:val="auto"/>
                <w:kern w:val="0"/>
                <w:sz w:val="24"/>
                <w:highlight w:val="none"/>
                <w:lang w:val="en-US" w:eastAsia="zh-CN"/>
              </w:rPr>
              <w:t>收费</w:t>
            </w:r>
            <w:r>
              <w:rPr>
                <w:rFonts w:hint="eastAsia" w:ascii="宋体" w:hAnsi="宋体" w:eastAsia="宋体" w:cs="宋体"/>
                <w:b/>
                <w:bCs/>
                <w:color w:val="auto"/>
                <w:kern w:val="0"/>
                <w:sz w:val="24"/>
                <w:highlight w:val="none"/>
              </w:rPr>
              <w:t>系统功能参数</w:t>
            </w:r>
          </w:p>
        </w:tc>
      </w:tr>
      <w:tr w14:paraId="10BD9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EA53620">
            <w:pPr>
              <w:widowControl/>
              <w:spacing w:line="360" w:lineRule="auto"/>
              <w:jc w:val="center"/>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序号</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54DEDD8D">
            <w:pPr>
              <w:widowControl/>
              <w:spacing w:line="360" w:lineRule="auto"/>
              <w:jc w:val="center"/>
              <w:rPr>
                <w:rFonts w:hint="default" w:ascii="宋体" w:hAnsi="宋体" w:cs="宋体"/>
                <w:b w:val="0"/>
                <w:bCs w:val="0"/>
                <w:sz w:val="24"/>
                <w:szCs w:val="24"/>
                <w:lang w:val="en-US"/>
              </w:rPr>
            </w:pPr>
            <w:r>
              <w:rPr>
                <w:rFonts w:hint="eastAsia" w:ascii="宋体" w:hAnsi="宋体" w:cs="宋体"/>
                <w:b w:val="0"/>
                <w:bCs w:val="0"/>
                <w:sz w:val="24"/>
                <w:szCs w:val="24"/>
                <w:lang w:val="en-US" w:eastAsia="zh-CN"/>
              </w:rPr>
              <w:t>服务名称</w:t>
            </w:r>
          </w:p>
        </w:tc>
        <w:tc>
          <w:tcPr>
            <w:tcW w:w="3249" w:type="pct"/>
            <w:tcBorders>
              <w:top w:val="single" w:color="auto" w:sz="4" w:space="0"/>
              <w:left w:val="single" w:color="auto" w:sz="4" w:space="0"/>
              <w:right w:val="single" w:color="auto" w:sz="4" w:space="0"/>
            </w:tcBorders>
            <w:noWrap w:val="0"/>
            <w:vAlign w:val="center"/>
          </w:tcPr>
          <w:p w14:paraId="0E39F845">
            <w:pPr>
              <w:spacing w:line="360" w:lineRule="auto"/>
              <w:jc w:val="center"/>
              <w:rPr>
                <w:rFonts w:ascii="宋体" w:hAnsi="宋体" w:cs="宋体"/>
                <w:b w:val="0"/>
                <w:bCs w:val="0"/>
                <w:sz w:val="24"/>
                <w:szCs w:val="24"/>
              </w:rPr>
            </w:pPr>
            <w:r>
              <w:rPr>
                <w:rFonts w:hint="eastAsia" w:ascii="宋体" w:hAnsi="宋体" w:cs="宋体"/>
                <w:b w:val="0"/>
                <w:bCs w:val="0"/>
                <w:sz w:val="24"/>
                <w:szCs w:val="24"/>
              </w:rPr>
              <w:t>技术</w:t>
            </w:r>
            <w:r>
              <w:rPr>
                <w:rFonts w:hint="eastAsia" w:ascii="宋体" w:hAnsi="宋体" w:cs="宋体"/>
                <w:b w:val="0"/>
                <w:bCs w:val="0"/>
                <w:sz w:val="24"/>
                <w:szCs w:val="24"/>
                <w:lang w:val="en-US" w:eastAsia="zh-CN"/>
              </w:rPr>
              <w:t>需求</w:t>
            </w:r>
          </w:p>
        </w:tc>
        <w:tc>
          <w:tcPr>
            <w:tcW w:w="525" w:type="pct"/>
            <w:tcBorders>
              <w:top w:val="single" w:color="auto" w:sz="4" w:space="0"/>
              <w:left w:val="single" w:color="auto" w:sz="4" w:space="0"/>
              <w:right w:val="single" w:color="auto" w:sz="4" w:space="0"/>
            </w:tcBorders>
            <w:noWrap w:val="0"/>
            <w:vAlign w:val="center"/>
          </w:tcPr>
          <w:p w14:paraId="401C56DA">
            <w:pPr>
              <w:spacing w:line="240" w:lineRule="auto"/>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数量</w:t>
            </w:r>
          </w:p>
          <w:p w14:paraId="4D3806D6">
            <w:pPr>
              <w:spacing w:line="24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单位</w:t>
            </w:r>
          </w:p>
        </w:tc>
      </w:tr>
      <w:tr w14:paraId="1BD48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7E5BDD2">
            <w:pPr>
              <w:widowControl/>
              <w:jc w:val="center"/>
              <w:rPr>
                <w:rFonts w:hint="eastAsia" w:ascii="宋体" w:hAnsi="宋体" w:eastAsia="宋体" w:cs="宋体"/>
                <w:kern w:val="0"/>
                <w:sz w:val="24"/>
                <w:szCs w:val="24"/>
              </w:rPr>
            </w:pPr>
            <w:r>
              <w:rPr>
                <w:rFonts w:hint="eastAsia" w:ascii="宋体" w:hAnsi="宋体" w:eastAsia="宋体" w:cs="宋体"/>
                <w:sz w:val="24"/>
                <w:szCs w:val="24"/>
              </w:rPr>
              <w:t>1</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34022894">
            <w:pPr>
              <w:jc w:val="center"/>
              <w:rPr>
                <w:rFonts w:hint="eastAsia" w:ascii="宋体" w:hAnsi="宋体" w:eastAsia="宋体" w:cs="宋体"/>
                <w:sz w:val="24"/>
                <w:szCs w:val="24"/>
                <w:lang w:val="en-US"/>
              </w:rPr>
            </w:pPr>
            <w:r>
              <w:rPr>
                <w:rFonts w:hint="eastAsia" w:ascii="宋体" w:hAnsi="宋体" w:eastAsia="宋体" w:cs="宋体"/>
                <w:b/>
                <w:bCs w:val="0"/>
                <w:kern w:val="0"/>
                <w:sz w:val="24"/>
                <w:szCs w:val="24"/>
                <w:lang w:val="en-US" w:eastAsia="zh-CN"/>
              </w:rPr>
              <w:t>收费系统</w:t>
            </w:r>
          </w:p>
        </w:tc>
        <w:tc>
          <w:tcPr>
            <w:tcW w:w="3249" w:type="pct"/>
            <w:tcBorders>
              <w:top w:val="single" w:color="auto" w:sz="4" w:space="0"/>
              <w:left w:val="single" w:color="auto" w:sz="4" w:space="0"/>
              <w:right w:val="single" w:color="auto" w:sz="4" w:space="0"/>
            </w:tcBorders>
            <w:noWrap w:val="0"/>
            <w:vAlign w:val="center"/>
          </w:tcPr>
          <w:p w14:paraId="2AF48030">
            <w:pPr>
              <w:widowControl/>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一、收费管理</w:t>
            </w:r>
          </w:p>
          <w:p w14:paraId="49C3ADAC">
            <w:pPr>
              <w:widowControl/>
              <w:numPr>
                <w:ilvl w:val="0"/>
                <w:numId w:val="1"/>
              </w:numPr>
              <w:ind w:left="425" w:leftChars="0" w:hanging="425" w:firstLineChars="0"/>
              <w:jc w:val="left"/>
              <w:rPr>
                <w:rFonts w:ascii="宋体" w:hAnsi="宋体" w:eastAsia="宋体" w:cs="宋体"/>
                <w:color w:val="auto"/>
                <w:kern w:val="0"/>
                <w:sz w:val="24"/>
                <w:szCs w:val="24"/>
                <w:lang w:bidi="ar-SA"/>
              </w:rPr>
            </w:pPr>
            <w:r>
              <w:rPr>
                <w:rFonts w:hint="eastAsia" w:ascii="宋体" w:hAnsi="宋体" w:eastAsia="宋体" w:cs="宋体"/>
                <w:color w:val="auto"/>
                <w:kern w:val="0"/>
                <w:sz w:val="24"/>
                <w:szCs w:val="24"/>
                <w:lang w:val="en-US" w:eastAsia="zh-CN"/>
              </w:rPr>
              <w:t>收费功能：支持微信、支付宝、银联等多种支付渠道；可对收费明细、</w:t>
            </w:r>
            <w:r>
              <w:rPr>
                <w:rFonts w:hint="eastAsia" w:ascii="宋体" w:hAnsi="宋体" w:cs="宋体"/>
                <w:color w:val="auto"/>
                <w:kern w:val="0"/>
                <w:sz w:val="24"/>
                <w:szCs w:val="24"/>
                <w:lang w:val="en-US" w:eastAsia="zh-CN"/>
              </w:rPr>
              <w:t>金额、</w:t>
            </w:r>
            <w:r>
              <w:rPr>
                <w:rFonts w:hint="eastAsia" w:ascii="宋体" w:hAnsi="宋体" w:eastAsia="宋体" w:cs="宋体"/>
                <w:color w:val="auto"/>
                <w:kern w:val="0"/>
                <w:sz w:val="24"/>
                <w:szCs w:val="24"/>
                <w:lang w:val="en-US" w:eastAsia="zh-CN"/>
              </w:rPr>
              <w:t>缴费日期等数据进行核对校验；支持非在线支付方式的缴费信息补录，以及各类费用减免信息的维护管理。</w:t>
            </w:r>
          </w:p>
          <w:p w14:paraId="2785E3AC">
            <w:pPr>
              <w:widowControl/>
              <w:numPr>
                <w:ilvl w:val="0"/>
                <w:numId w:val="1"/>
              </w:numPr>
              <w:ind w:left="425" w:leftChars="0" w:hanging="425" w:firstLineChars="0"/>
              <w:jc w:val="left"/>
              <w:rPr>
                <w:rFonts w:hint="eastAsia" w:ascii="宋体" w:hAnsi="宋体" w:eastAsia="宋体" w:cs="宋体"/>
                <w:color w:val="auto"/>
                <w:kern w:val="0"/>
                <w:sz w:val="24"/>
                <w:szCs w:val="24"/>
              </w:rPr>
            </w:pPr>
            <w:r>
              <w:rPr>
                <w:rFonts w:ascii="宋体" w:hAnsi="宋体" w:eastAsia="宋体" w:cs="宋体"/>
                <w:color w:val="auto"/>
                <w:kern w:val="0"/>
                <w:sz w:val="24"/>
                <w:szCs w:val="24"/>
                <w:lang w:bidi="ar-SA"/>
              </w:rPr>
              <w:t>收费日志：记录所有收费明细的新增与删除操作。若学生出现变更班级等情况，导致收费项目、收费标准、应收金额、已交金额等发生变动，系统需</w:t>
            </w:r>
            <w:r>
              <w:rPr>
                <w:rFonts w:hint="eastAsia" w:ascii="宋体" w:hAnsi="宋体" w:eastAsia="宋体" w:cs="宋体"/>
                <w:color w:val="auto"/>
                <w:kern w:val="0"/>
                <w:sz w:val="24"/>
                <w:szCs w:val="24"/>
                <w:lang w:val="en-US" w:eastAsia="zh-CN" w:bidi="ar-SA"/>
              </w:rPr>
              <w:t>在数据变动前</w:t>
            </w:r>
            <w:r>
              <w:rPr>
                <w:rFonts w:ascii="宋体" w:hAnsi="宋体" w:eastAsia="宋体" w:cs="宋体"/>
                <w:color w:val="auto"/>
                <w:kern w:val="0"/>
                <w:sz w:val="24"/>
                <w:szCs w:val="24"/>
                <w:lang w:bidi="ar-SA"/>
              </w:rPr>
              <w:t>及时提示。</w:t>
            </w:r>
          </w:p>
          <w:p w14:paraId="3FB5950D">
            <w:pPr>
              <w:widowControl/>
              <w:numPr>
                <w:ilvl w:val="0"/>
                <w:numId w:val="1"/>
              </w:numPr>
              <w:bidi w:val="0"/>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▲生成</w:t>
            </w:r>
            <w:r>
              <w:rPr>
                <w:rFonts w:hint="eastAsia" w:ascii="宋体" w:hAnsi="宋体" w:cs="宋体"/>
                <w:color w:val="auto"/>
                <w:kern w:val="0"/>
                <w:sz w:val="24"/>
                <w:szCs w:val="24"/>
                <w:lang w:val="en-US" w:eastAsia="zh-CN"/>
              </w:rPr>
              <w:t>收费</w:t>
            </w:r>
            <w:r>
              <w:rPr>
                <w:rFonts w:hint="eastAsia" w:ascii="宋体" w:hAnsi="宋体" w:eastAsia="宋体" w:cs="宋体"/>
                <w:color w:val="auto"/>
                <w:kern w:val="0"/>
                <w:sz w:val="24"/>
                <w:szCs w:val="24"/>
                <w:lang w:val="en-US" w:eastAsia="zh-CN"/>
              </w:rPr>
              <w:t>业务号凭证：对接学校会计核算系统</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生成会计凭证，并通过标准接口推送至</w:t>
            </w:r>
            <w:r>
              <w:rPr>
                <w:rFonts w:hint="eastAsia" w:ascii="宋体" w:hAnsi="宋体" w:eastAsia="宋体" w:cs="宋体"/>
                <w:color w:val="auto"/>
                <w:kern w:val="0"/>
                <w:sz w:val="24"/>
                <w:szCs w:val="24"/>
                <w:lang w:val="en-US" w:eastAsia="zh-CN"/>
              </w:rPr>
              <w:t>学校会计核算系统</w:t>
            </w:r>
            <w:r>
              <w:rPr>
                <w:rFonts w:hint="eastAsia" w:ascii="宋体" w:hAnsi="宋体" w:eastAsia="宋体" w:cs="宋体"/>
                <w:color w:val="auto"/>
                <w:kern w:val="0"/>
                <w:sz w:val="24"/>
                <w:szCs w:val="24"/>
              </w:rPr>
              <w:t>，实现财务数据的自动化流转与账务处理。</w:t>
            </w:r>
          </w:p>
          <w:p w14:paraId="57AF0494">
            <w:pPr>
              <w:widowControl/>
              <w:numPr>
                <w:ilvl w:val="0"/>
                <w:numId w:val="1"/>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bidi="ar-SA"/>
              </w:rPr>
              <w:t>收费业务号结账与反结账：完成收款数据核对后，可对业务号数据进行封存并录入对应会计凭证号；针对已封存数据，具备对应权限的操作人员可执行反结账解封操作，以便修正收费明细中的错误信息。</w:t>
            </w:r>
          </w:p>
          <w:p w14:paraId="07CB6E4D">
            <w:pPr>
              <w:widowControl/>
              <w:numPr>
                <w:ilvl w:val="0"/>
                <w:numId w:val="1"/>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收费平衡管理：实现多缴金额自动冲抵少缴欠费项目，同时自动记录冲抵项目明细、生成会计凭证，以确保收费系统与财务系统账目相符。</w:t>
            </w:r>
          </w:p>
          <w:p w14:paraId="5FC562B5">
            <w:pPr>
              <w:widowControl/>
              <w:numPr>
                <w:ilvl w:val="0"/>
                <w:numId w:val="1"/>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订单查询：</w:t>
            </w:r>
            <w:r>
              <w:rPr>
                <w:rFonts w:hint="eastAsia" w:ascii="宋体" w:hAnsi="宋体" w:eastAsia="宋体" w:cs="宋体"/>
                <w:color w:val="auto"/>
                <w:kern w:val="0"/>
                <w:sz w:val="24"/>
                <w:szCs w:val="24"/>
              </w:rPr>
              <w:t>提供多维度、精细化的订单检索能力，支持通过学号、姓名、订单号、支付渠道、学生类型、订单时间等单一或组合条件快速查询缴费订单详情，满足财务对账、业务核查、学生咨询等场景下的订单追溯需求。</w:t>
            </w:r>
          </w:p>
          <w:p w14:paraId="24AAC5EE">
            <w:pPr>
              <w:widowControl/>
              <w:numPr>
                <w:ilvl w:val="0"/>
                <w:numId w:val="1"/>
              </w:numPr>
              <w:ind w:left="425" w:leftChars="0" w:hanging="425" w:firstLineChars="0"/>
              <w:jc w:val="left"/>
              <w:rPr>
                <w:rFonts w:hint="eastAsia" w:ascii="宋体" w:hAnsi="宋体" w:eastAsia="宋体" w:cs="宋体"/>
                <w:kern w:val="0"/>
                <w:sz w:val="24"/>
                <w:szCs w:val="24"/>
              </w:rPr>
            </w:pPr>
            <w:r>
              <w:rPr>
                <w:rFonts w:hint="eastAsia" w:ascii="宋体" w:hAnsi="宋体" w:cs="宋体"/>
                <w:kern w:val="0"/>
                <w:sz w:val="24"/>
                <w:szCs w:val="24"/>
                <w:lang w:val="en-US" w:eastAsia="zh-CN"/>
              </w:rPr>
              <w:t>欠费催缴：</w:t>
            </w:r>
            <w:r>
              <w:rPr>
                <w:rFonts w:hint="eastAsia" w:ascii="宋体" w:hAnsi="宋体" w:eastAsia="宋体" w:cs="宋体"/>
                <w:kern w:val="0"/>
                <w:sz w:val="24"/>
                <w:szCs w:val="24"/>
              </w:rPr>
              <w:t>系统支持对未缴费及部分缴费人员开展信息查询、缴费进度统计与数据导出操作，同时可针对该类群体进行信息推送，通过短信、微信、站内通知等渠道完成费用催缴，欠费人员可直接点击催缴通知跳转至系统完成缴费。</w:t>
            </w:r>
          </w:p>
          <w:p w14:paraId="71869169">
            <w:pPr>
              <w:widowControl/>
              <w:ind w:firstLine="482" w:firstLineChars="200"/>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val="en-US" w:eastAsia="zh-CN"/>
              </w:rPr>
              <w:t>退费管理</w:t>
            </w:r>
          </w:p>
          <w:p w14:paraId="765D2636">
            <w:pPr>
              <w:widowControl/>
              <w:numPr>
                <w:ilvl w:val="0"/>
                <w:numId w:val="2"/>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学生线上退费：包括学生端在线申请、</w:t>
            </w:r>
            <w:r>
              <w:rPr>
                <w:rFonts w:hint="eastAsia" w:ascii="宋体" w:hAnsi="宋体" w:cs="宋体"/>
                <w:color w:val="auto"/>
                <w:kern w:val="0"/>
                <w:sz w:val="24"/>
                <w:szCs w:val="24"/>
                <w:lang w:val="en-US" w:eastAsia="zh-CN"/>
              </w:rPr>
              <w:t>有关负责人</w:t>
            </w:r>
            <w:r>
              <w:rPr>
                <w:rFonts w:hint="eastAsia" w:ascii="宋体" w:hAnsi="宋体" w:eastAsia="宋体" w:cs="宋体"/>
                <w:color w:val="auto"/>
                <w:kern w:val="0"/>
                <w:sz w:val="24"/>
                <w:szCs w:val="24"/>
              </w:rPr>
              <w:t>手机端审批、财务退费处理、数据统计分析等完整流程，实现从申请到审批、原路退款的闭环管理，支持多级审批、费用抵扣、原路退回等多种退费场景。</w:t>
            </w:r>
          </w:p>
          <w:p w14:paraId="48AB9C26">
            <w:pPr>
              <w:widowControl/>
              <w:numPr>
                <w:ilvl w:val="0"/>
                <w:numId w:val="2"/>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退费抵扣顺序设置</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支持对退费顺序及抵扣顺序进行设置，系统将按设置好的顺序进行退费及抵扣操作；需提供系统截图佐证；系统提供记录某收费项目的起止日期、按天计算学费的</w:t>
            </w:r>
            <w:r>
              <w:rPr>
                <w:rFonts w:hint="eastAsia" w:ascii="宋体" w:hAnsi="宋体" w:cs="宋体"/>
                <w:color w:val="auto"/>
                <w:kern w:val="0"/>
                <w:sz w:val="24"/>
                <w:szCs w:val="24"/>
                <w:lang w:val="en-US" w:eastAsia="zh-CN"/>
              </w:rPr>
              <w:t>备注</w:t>
            </w:r>
            <w:r>
              <w:rPr>
                <w:rFonts w:hint="eastAsia" w:ascii="宋体" w:hAnsi="宋体" w:eastAsia="宋体" w:cs="宋体"/>
                <w:color w:val="auto"/>
                <w:kern w:val="0"/>
                <w:sz w:val="24"/>
                <w:szCs w:val="24"/>
                <w:lang w:val="en-US" w:eastAsia="zh-CN"/>
              </w:rPr>
              <w:t>位置</w:t>
            </w:r>
            <w:r>
              <w:rPr>
                <w:rFonts w:hint="eastAsia" w:ascii="宋体" w:hAnsi="宋体" w:cs="宋体"/>
                <w:color w:val="auto"/>
                <w:kern w:val="0"/>
                <w:sz w:val="24"/>
                <w:szCs w:val="24"/>
                <w:lang w:val="en-US" w:eastAsia="zh-CN"/>
              </w:rPr>
              <w:t>或附件上传</w:t>
            </w:r>
            <w:r>
              <w:rPr>
                <w:rFonts w:hint="eastAsia" w:ascii="宋体" w:hAnsi="宋体" w:eastAsia="宋体" w:cs="宋体"/>
                <w:color w:val="auto"/>
                <w:kern w:val="0"/>
                <w:sz w:val="24"/>
                <w:szCs w:val="24"/>
                <w:lang w:val="en-US" w:eastAsia="zh-CN"/>
              </w:rPr>
              <w:t>，当作退费依据。</w:t>
            </w:r>
          </w:p>
          <w:p w14:paraId="0128A59B">
            <w:pPr>
              <w:widowControl/>
              <w:numPr>
                <w:ilvl w:val="0"/>
                <w:numId w:val="2"/>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银行卡</w:t>
            </w:r>
            <w:r>
              <w:rPr>
                <w:rFonts w:hint="eastAsia" w:ascii="宋体" w:hAnsi="宋体" w:cs="宋体"/>
                <w:color w:val="auto"/>
                <w:kern w:val="0"/>
                <w:sz w:val="24"/>
                <w:szCs w:val="24"/>
                <w:lang w:val="en-US" w:eastAsia="zh-CN"/>
              </w:rPr>
              <w:t>信息收</w:t>
            </w:r>
            <w:r>
              <w:rPr>
                <w:rFonts w:hint="eastAsia" w:ascii="宋体" w:hAnsi="宋体" w:eastAsia="宋体" w:cs="宋体"/>
                <w:color w:val="auto"/>
                <w:kern w:val="0"/>
                <w:sz w:val="24"/>
                <w:szCs w:val="24"/>
                <w:lang w:val="en-US" w:eastAsia="zh-CN"/>
              </w:rPr>
              <w:t>集：支持学生在线</w:t>
            </w:r>
            <w:r>
              <w:rPr>
                <w:rFonts w:hint="eastAsia" w:ascii="宋体" w:hAnsi="宋体" w:cs="宋体"/>
                <w:color w:val="auto"/>
                <w:kern w:val="0"/>
                <w:sz w:val="24"/>
                <w:szCs w:val="24"/>
                <w:lang w:val="en-US" w:eastAsia="zh-CN"/>
              </w:rPr>
              <w:t>维护</w:t>
            </w:r>
            <w:r>
              <w:rPr>
                <w:rFonts w:hint="eastAsia" w:ascii="宋体" w:hAnsi="宋体" w:eastAsia="宋体" w:cs="宋体"/>
                <w:color w:val="auto"/>
                <w:kern w:val="0"/>
                <w:sz w:val="24"/>
                <w:szCs w:val="24"/>
                <w:lang w:val="en-US" w:eastAsia="zh-CN"/>
              </w:rPr>
              <w:t>提交</w:t>
            </w:r>
            <w:r>
              <w:rPr>
                <w:rFonts w:hint="eastAsia" w:ascii="宋体" w:hAnsi="宋体" w:cs="宋体"/>
                <w:color w:val="auto"/>
                <w:kern w:val="0"/>
                <w:sz w:val="24"/>
                <w:szCs w:val="24"/>
                <w:lang w:val="en-US" w:eastAsia="zh-CN"/>
              </w:rPr>
              <w:t>退费</w:t>
            </w:r>
            <w:r>
              <w:rPr>
                <w:rFonts w:hint="eastAsia" w:ascii="宋体" w:hAnsi="宋体" w:eastAsia="宋体" w:cs="宋体"/>
                <w:color w:val="auto"/>
                <w:kern w:val="0"/>
                <w:sz w:val="24"/>
                <w:szCs w:val="24"/>
                <w:lang w:val="en-US" w:eastAsia="zh-CN"/>
              </w:rPr>
              <w:t>银行卡信息，</w:t>
            </w:r>
            <w:r>
              <w:rPr>
                <w:rFonts w:hint="eastAsia" w:ascii="宋体" w:hAnsi="宋体" w:cs="宋体"/>
                <w:color w:val="auto"/>
                <w:kern w:val="0"/>
                <w:sz w:val="24"/>
                <w:szCs w:val="24"/>
                <w:lang w:val="en-US" w:eastAsia="zh-CN"/>
              </w:rPr>
              <w:t>并</w:t>
            </w:r>
            <w:r>
              <w:rPr>
                <w:rFonts w:hint="eastAsia" w:ascii="宋体" w:hAnsi="宋体" w:eastAsia="宋体" w:cs="宋体"/>
                <w:color w:val="auto"/>
                <w:kern w:val="0"/>
                <w:sz w:val="24"/>
                <w:szCs w:val="24"/>
                <w:lang w:val="en-US" w:eastAsia="zh-CN"/>
              </w:rPr>
              <w:t>确保</w:t>
            </w:r>
            <w:r>
              <w:rPr>
                <w:rFonts w:hint="eastAsia" w:ascii="宋体" w:hAnsi="宋体" w:cs="宋体"/>
                <w:color w:val="auto"/>
                <w:kern w:val="0"/>
                <w:sz w:val="24"/>
                <w:szCs w:val="24"/>
                <w:lang w:val="en-US" w:eastAsia="zh-CN"/>
              </w:rPr>
              <w:t>学生在选择</w:t>
            </w:r>
            <w:r>
              <w:rPr>
                <w:rFonts w:hint="eastAsia" w:ascii="宋体" w:hAnsi="宋体" w:eastAsia="宋体" w:cs="宋体"/>
                <w:color w:val="auto"/>
                <w:kern w:val="0"/>
                <w:sz w:val="24"/>
                <w:szCs w:val="24"/>
                <w:lang w:val="en-US" w:eastAsia="zh-CN"/>
              </w:rPr>
              <w:t>银行卡开户行等</w:t>
            </w:r>
            <w:r>
              <w:rPr>
                <w:rFonts w:hint="eastAsia" w:ascii="宋体" w:hAnsi="宋体" w:cs="宋体"/>
                <w:color w:val="auto"/>
                <w:kern w:val="0"/>
                <w:sz w:val="24"/>
                <w:szCs w:val="24"/>
                <w:lang w:val="en-US" w:eastAsia="zh-CN"/>
              </w:rPr>
              <w:t>信息</w:t>
            </w:r>
            <w:r>
              <w:rPr>
                <w:rFonts w:hint="eastAsia" w:ascii="宋体" w:hAnsi="宋体" w:eastAsia="宋体" w:cs="宋体"/>
                <w:color w:val="auto"/>
                <w:kern w:val="0"/>
                <w:sz w:val="24"/>
                <w:szCs w:val="24"/>
                <w:lang w:val="en-US" w:eastAsia="zh-CN"/>
              </w:rPr>
              <w:t>过程</w:t>
            </w:r>
            <w:r>
              <w:rPr>
                <w:rFonts w:hint="eastAsia" w:ascii="宋体" w:hAnsi="宋体" w:cs="宋体"/>
                <w:color w:val="auto"/>
                <w:kern w:val="0"/>
                <w:sz w:val="24"/>
                <w:szCs w:val="24"/>
                <w:lang w:val="en-US" w:eastAsia="zh-CN"/>
              </w:rPr>
              <w:t>中系统运行</w:t>
            </w:r>
            <w:r>
              <w:rPr>
                <w:rFonts w:hint="eastAsia" w:ascii="宋体" w:hAnsi="宋体" w:eastAsia="宋体" w:cs="宋体"/>
                <w:color w:val="auto"/>
                <w:kern w:val="0"/>
                <w:sz w:val="24"/>
                <w:szCs w:val="24"/>
                <w:lang w:val="en-US" w:eastAsia="zh-CN"/>
              </w:rPr>
              <w:t>顺畅</w:t>
            </w:r>
            <w:r>
              <w:rPr>
                <w:rFonts w:hint="eastAsia" w:ascii="宋体" w:hAnsi="宋体" w:cs="宋体"/>
                <w:color w:val="auto"/>
                <w:kern w:val="0"/>
                <w:sz w:val="24"/>
                <w:szCs w:val="24"/>
                <w:lang w:val="en-US" w:eastAsia="zh-CN"/>
              </w:rPr>
              <w:t>，无延迟卡顿</w:t>
            </w:r>
            <w:r>
              <w:rPr>
                <w:rFonts w:hint="eastAsia" w:ascii="宋体" w:hAnsi="宋体" w:eastAsia="宋体" w:cs="宋体"/>
                <w:color w:val="auto"/>
                <w:kern w:val="0"/>
                <w:sz w:val="24"/>
                <w:szCs w:val="24"/>
                <w:lang w:val="en-US" w:eastAsia="zh-CN"/>
              </w:rPr>
              <w:t>。</w:t>
            </w:r>
          </w:p>
          <w:p w14:paraId="2175C823">
            <w:pPr>
              <w:widowControl/>
              <w:ind w:firstLine="482" w:firstLineChars="200"/>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三、</w:t>
            </w:r>
            <w:r>
              <w:rPr>
                <w:rFonts w:hint="eastAsia" w:ascii="宋体" w:hAnsi="宋体" w:eastAsia="宋体" w:cs="宋体"/>
                <w:b/>
                <w:bCs/>
                <w:kern w:val="0"/>
                <w:sz w:val="24"/>
                <w:szCs w:val="24"/>
                <w:lang w:val="en-US" w:eastAsia="zh-CN"/>
              </w:rPr>
              <w:t>数据统计</w:t>
            </w:r>
          </w:p>
          <w:p w14:paraId="01615927">
            <w:pPr>
              <w:widowControl/>
              <w:numPr>
                <w:ilvl w:val="0"/>
                <w:numId w:val="3"/>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数据</w:t>
            </w:r>
            <w:r>
              <w:rPr>
                <w:rFonts w:hint="eastAsia" w:ascii="宋体" w:hAnsi="宋体" w:eastAsia="宋体" w:cs="宋体"/>
                <w:color w:val="auto"/>
                <w:kern w:val="0"/>
                <w:sz w:val="24"/>
                <w:szCs w:val="24"/>
                <w:lang w:val="en-US" w:eastAsia="zh-CN"/>
              </w:rPr>
              <w:t>万能查询：</w:t>
            </w:r>
            <w:r>
              <w:rPr>
                <w:rFonts w:hint="eastAsia" w:ascii="宋体" w:hAnsi="宋体" w:eastAsia="宋体" w:cs="宋体"/>
                <w:color w:val="auto"/>
                <w:kern w:val="0"/>
                <w:sz w:val="24"/>
                <w:szCs w:val="24"/>
              </w:rPr>
              <w:t>系统支持多查询条件的组合检索，组合逻辑包含“并且”“或者”；可按学期统计各学院及学生的缴费、欠费情况，支持全学期缴费与欠费数据汇总统计；支持单项目或多项目在各学期的交欠费情况统计；支持按日期范围筛选统计交欠费数据；同时可依据学生类别、学籍状态、所属</w:t>
            </w:r>
            <w:r>
              <w:rPr>
                <w:rFonts w:hint="eastAsia" w:ascii="宋体" w:hAnsi="宋体" w:cs="宋体"/>
                <w:color w:val="auto"/>
                <w:kern w:val="0"/>
                <w:sz w:val="24"/>
                <w:szCs w:val="24"/>
                <w:lang w:val="en-US" w:eastAsia="zh-CN"/>
              </w:rPr>
              <w:t>学院</w:t>
            </w:r>
            <w:r>
              <w:rPr>
                <w:rFonts w:hint="eastAsia" w:ascii="宋体" w:hAnsi="宋体" w:eastAsia="宋体" w:cs="宋体"/>
                <w:color w:val="auto"/>
                <w:kern w:val="0"/>
                <w:sz w:val="24"/>
                <w:szCs w:val="24"/>
              </w:rPr>
              <w:t>、年级维度</w:t>
            </w:r>
            <w:r>
              <w:rPr>
                <w:rFonts w:hint="eastAsia" w:ascii="宋体" w:hAnsi="宋体" w:cs="宋体"/>
                <w:color w:val="auto"/>
                <w:kern w:val="0"/>
                <w:sz w:val="24"/>
                <w:szCs w:val="24"/>
                <w:lang w:val="en-US" w:eastAsia="zh-CN"/>
              </w:rPr>
              <w:t>等</w:t>
            </w:r>
            <w:r>
              <w:rPr>
                <w:rFonts w:hint="eastAsia" w:ascii="宋体" w:hAnsi="宋体" w:eastAsia="宋体" w:cs="宋体"/>
                <w:color w:val="auto"/>
                <w:kern w:val="0"/>
                <w:sz w:val="24"/>
                <w:szCs w:val="24"/>
              </w:rPr>
              <w:t>开展分类统计。</w:t>
            </w:r>
          </w:p>
          <w:p w14:paraId="70359721">
            <w:pPr>
              <w:widowControl/>
              <w:numPr>
                <w:ilvl w:val="0"/>
                <w:numId w:val="3"/>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缴费数据大屏：</w:t>
            </w:r>
            <w:r>
              <w:rPr>
                <w:rFonts w:hint="eastAsia" w:ascii="宋体" w:hAnsi="宋体" w:eastAsia="宋体" w:cs="宋体"/>
                <w:color w:val="auto"/>
                <w:kern w:val="0"/>
                <w:sz w:val="24"/>
                <w:szCs w:val="24"/>
              </w:rPr>
              <w:t>通过动态图表、树状结构、实时数据流等形式，全景展示全校及各院系、专业的缴费进度，实时呈现应收、已收、欠费、欠费率等核心指标，为学校领导、财务部门提供直观、实时、动态的收费数据驾驶舱，辅助管理决策。</w:t>
            </w:r>
          </w:p>
          <w:p w14:paraId="377F194F">
            <w:pPr>
              <w:widowControl/>
              <w:numPr>
                <w:ilvl w:val="0"/>
                <w:numId w:val="3"/>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收费中台：</w:t>
            </w:r>
            <w:r>
              <w:rPr>
                <w:rFonts w:hint="eastAsia" w:ascii="宋体" w:hAnsi="宋体" w:eastAsia="宋体" w:cs="宋体"/>
                <w:color w:val="auto"/>
                <w:kern w:val="0"/>
                <w:sz w:val="24"/>
                <w:szCs w:val="24"/>
              </w:rPr>
              <w:t>负责实时采集、统计、展示系统内各项收费业务的运行数据，将学费、住宿费、停车费、培训鉴定费、水电费等全校各类收费项目的缴费进度、欠费情况、实时收入等关键指标集中呈现，支持一键穿透查询到具体缴费项目明细，为学校财务管理和业务决策提供一站式数据服务。</w:t>
            </w:r>
          </w:p>
          <w:p w14:paraId="78405BE5">
            <w:pPr>
              <w:widowControl/>
              <w:numPr>
                <w:ilvl w:val="0"/>
                <w:numId w:val="3"/>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收费</w:t>
            </w:r>
            <w:r>
              <w:rPr>
                <w:rFonts w:hint="eastAsia" w:ascii="宋体" w:hAnsi="宋体" w:eastAsia="宋体" w:cs="宋体"/>
                <w:color w:val="auto"/>
                <w:kern w:val="0"/>
                <w:sz w:val="24"/>
                <w:szCs w:val="24"/>
                <w:lang w:val="en-US" w:eastAsia="zh-CN"/>
              </w:rPr>
              <w:t>业务号统计：支持按收费业务类型、支付渠道、时间范围等多维度进行查询统计，可获取各业务号的缴费统计数据（含</w:t>
            </w:r>
            <w:r>
              <w:rPr>
                <w:rFonts w:hint="eastAsia" w:ascii="宋体" w:hAnsi="宋体" w:cs="宋体"/>
                <w:color w:val="auto"/>
                <w:kern w:val="0"/>
                <w:sz w:val="24"/>
                <w:szCs w:val="24"/>
                <w:lang w:val="en-US" w:eastAsia="zh-CN"/>
              </w:rPr>
              <w:t>选取多笔</w:t>
            </w:r>
            <w:r>
              <w:rPr>
                <w:rFonts w:hint="eastAsia" w:ascii="宋体" w:hAnsi="宋体" w:eastAsia="宋体" w:cs="宋体"/>
                <w:color w:val="auto"/>
                <w:kern w:val="0"/>
                <w:sz w:val="24"/>
                <w:szCs w:val="24"/>
                <w:lang w:val="en-US" w:eastAsia="zh-CN"/>
              </w:rPr>
              <w:t>业务号</w:t>
            </w:r>
            <w:r>
              <w:rPr>
                <w:rFonts w:hint="eastAsia" w:ascii="宋体" w:hAnsi="宋体" w:cs="宋体"/>
                <w:color w:val="auto"/>
                <w:kern w:val="0"/>
                <w:sz w:val="24"/>
                <w:szCs w:val="24"/>
                <w:lang w:val="en-US" w:eastAsia="zh-CN"/>
              </w:rPr>
              <w:t>合并</w:t>
            </w:r>
            <w:r>
              <w:rPr>
                <w:rFonts w:hint="eastAsia" w:ascii="宋体" w:hAnsi="宋体" w:eastAsia="宋体" w:cs="宋体"/>
                <w:color w:val="auto"/>
                <w:kern w:val="0"/>
                <w:sz w:val="24"/>
                <w:szCs w:val="24"/>
                <w:lang w:val="en-US" w:eastAsia="zh-CN"/>
              </w:rPr>
              <w:t>汇总数据）与明细信息，清晰展示各业务号对应的缴费总金额及收费项目构成。</w:t>
            </w:r>
          </w:p>
          <w:p w14:paraId="2D8E3304">
            <w:pPr>
              <w:widowControl/>
              <w:numPr>
                <w:ilvl w:val="0"/>
                <w:numId w:val="3"/>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缴费统计分析：支持按院系、专业、班级等组织架构维度，统计各层级缴费核心指标，包含总人数、应收及已交金额、欠费金额与缴费完成率，支持穿透查询学生明细，兼顾宏观管控与微观催缴管理；同时可查询单学期及多学期的缴费率、欠费率与历史节点欠费对比数据，为学校收费考核、资助管理及财务绩效评价提供数据支撑，并支持报表导出。</w:t>
            </w:r>
          </w:p>
          <w:p w14:paraId="501205AC">
            <w:pPr>
              <w:widowControl/>
              <w:numPr>
                <w:ilvl w:val="0"/>
                <w:numId w:val="0"/>
              </w:numPr>
              <w:ind w:leftChars="0" w:firstLine="482" w:firstLineChars="200"/>
              <w:jc w:val="lef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rPr>
              <w:t>四、</w:t>
            </w:r>
            <w:r>
              <w:rPr>
                <w:rFonts w:hint="eastAsia" w:ascii="宋体" w:hAnsi="宋体" w:eastAsia="宋体" w:cs="宋体"/>
                <w:b/>
                <w:bCs/>
                <w:kern w:val="0"/>
                <w:sz w:val="24"/>
                <w:szCs w:val="24"/>
                <w:lang w:val="en-US" w:eastAsia="zh-CN"/>
              </w:rPr>
              <w:t>信息维护</w:t>
            </w:r>
            <w:r>
              <w:rPr>
                <w:rFonts w:hint="eastAsia" w:ascii="宋体" w:hAnsi="宋体" w:cs="宋体"/>
                <w:b/>
                <w:bCs/>
                <w:kern w:val="0"/>
                <w:sz w:val="24"/>
                <w:szCs w:val="24"/>
                <w:lang w:val="en-US" w:eastAsia="zh-CN"/>
              </w:rPr>
              <w:t>及同步</w:t>
            </w:r>
          </w:p>
          <w:p w14:paraId="515162A4">
            <w:pPr>
              <w:widowControl/>
              <w:numPr>
                <w:ilvl w:val="0"/>
                <w:numId w:val="4"/>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学生信息：</w:t>
            </w:r>
            <w:r>
              <w:rPr>
                <w:rFonts w:hint="eastAsia" w:ascii="宋体" w:hAnsi="宋体" w:eastAsia="宋体" w:cs="宋体"/>
                <w:color w:val="auto"/>
                <w:kern w:val="0"/>
                <w:sz w:val="24"/>
                <w:szCs w:val="24"/>
              </w:rPr>
              <w:t>系统提供学生基础信息（含</w:t>
            </w:r>
            <w:r>
              <w:rPr>
                <w:rFonts w:hint="eastAsia" w:ascii="宋体" w:hAnsi="宋体" w:cs="宋体"/>
                <w:color w:val="auto"/>
                <w:kern w:val="0"/>
                <w:sz w:val="24"/>
                <w:szCs w:val="24"/>
                <w:lang w:val="en-US" w:eastAsia="zh-CN"/>
              </w:rPr>
              <w:t>学号、</w:t>
            </w:r>
            <w:r>
              <w:rPr>
                <w:rFonts w:hint="eastAsia" w:ascii="宋体" w:hAnsi="宋体" w:eastAsia="宋体" w:cs="宋体"/>
                <w:color w:val="auto"/>
                <w:kern w:val="0"/>
                <w:sz w:val="24"/>
                <w:szCs w:val="24"/>
              </w:rPr>
              <w:t>姓名、</w:t>
            </w:r>
            <w:r>
              <w:rPr>
                <w:rFonts w:hint="eastAsia" w:ascii="宋体" w:hAnsi="宋体" w:cs="宋体"/>
                <w:color w:val="auto"/>
                <w:kern w:val="0"/>
                <w:sz w:val="24"/>
                <w:szCs w:val="24"/>
                <w:lang w:val="en-US" w:eastAsia="zh-CN"/>
              </w:rPr>
              <w:t>证件号、</w:t>
            </w:r>
            <w:r>
              <w:rPr>
                <w:rFonts w:hint="eastAsia" w:ascii="宋体" w:hAnsi="宋体" w:eastAsia="宋体" w:cs="宋体"/>
                <w:color w:val="auto"/>
                <w:kern w:val="0"/>
                <w:sz w:val="24"/>
                <w:szCs w:val="24"/>
              </w:rPr>
              <w:t>银行卡号、</w:t>
            </w:r>
            <w:r>
              <w:rPr>
                <w:rFonts w:hint="eastAsia" w:ascii="宋体" w:hAnsi="宋体" w:cs="宋体"/>
                <w:color w:val="auto"/>
                <w:kern w:val="0"/>
                <w:sz w:val="24"/>
                <w:szCs w:val="24"/>
                <w:lang w:val="en-US" w:eastAsia="zh-CN"/>
              </w:rPr>
              <w:t>电话号、</w:t>
            </w:r>
            <w:r>
              <w:rPr>
                <w:rFonts w:hint="eastAsia" w:ascii="宋体" w:hAnsi="宋体" w:eastAsia="宋体" w:cs="宋体"/>
                <w:color w:val="auto"/>
                <w:kern w:val="0"/>
                <w:sz w:val="24"/>
                <w:szCs w:val="24"/>
              </w:rPr>
              <w:t>缓交</w:t>
            </w:r>
            <w:r>
              <w:rPr>
                <w:rFonts w:hint="eastAsia" w:ascii="宋体" w:hAnsi="宋体" w:cs="宋体"/>
                <w:color w:val="auto"/>
                <w:kern w:val="0"/>
                <w:sz w:val="24"/>
                <w:szCs w:val="24"/>
                <w:lang w:val="en-US" w:eastAsia="zh-CN"/>
              </w:rPr>
              <w:t>信息</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备注等）的灵活维护功能，支持收费项目的增删改查及批量处理，并可对历史学期收费数据进行追溯调整，保障收费数据准确完整。</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单一</w:t>
            </w:r>
            <w:r>
              <w:rPr>
                <w:rFonts w:hint="eastAsia" w:ascii="宋体" w:hAnsi="宋体" w:eastAsia="宋体" w:cs="宋体"/>
                <w:color w:val="auto"/>
                <w:kern w:val="0"/>
                <w:sz w:val="24"/>
                <w:szCs w:val="24"/>
              </w:rPr>
              <w:t>学生信息界面集成展示学生全量信息，将基础信息、</w:t>
            </w:r>
            <w:r>
              <w:rPr>
                <w:rFonts w:hint="eastAsia" w:ascii="宋体" w:hAnsi="宋体" w:cs="宋体"/>
                <w:color w:val="auto"/>
                <w:kern w:val="0"/>
                <w:sz w:val="24"/>
                <w:szCs w:val="24"/>
                <w:lang w:val="en-US" w:eastAsia="zh-CN"/>
              </w:rPr>
              <w:t>对应学年</w:t>
            </w:r>
            <w:r>
              <w:rPr>
                <w:rFonts w:hint="eastAsia" w:ascii="宋体" w:hAnsi="宋体" w:eastAsia="宋体" w:cs="宋体"/>
                <w:color w:val="auto"/>
                <w:kern w:val="0"/>
                <w:sz w:val="24"/>
                <w:szCs w:val="24"/>
              </w:rPr>
              <w:t>学宿费</w:t>
            </w:r>
            <w:r>
              <w:rPr>
                <w:rFonts w:hint="eastAsia" w:ascii="宋体" w:hAnsi="宋体" w:cs="宋体"/>
                <w:color w:val="auto"/>
                <w:kern w:val="0"/>
                <w:sz w:val="24"/>
                <w:szCs w:val="24"/>
                <w:lang w:val="en-US" w:eastAsia="zh-CN"/>
              </w:rPr>
              <w:t>等</w:t>
            </w:r>
            <w:r>
              <w:rPr>
                <w:rFonts w:hint="eastAsia" w:ascii="宋体" w:hAnsi="宋体" w:eastAsia="宋体" w:cs="宋体"/>
                <w:color w:val="auto"/>
                <w:kern w:val="0"/>
                <w:sz w:val="24"/>
                <w:szCs w:val="24"/>
              </w:rPr>
              <w:t>缴费</w:t>
            </w:r>
            <w:r>
              <w:rPr>
                <w:rFonts w:hint="eastAsia" w:ascii="宋体" w:hAnsi="宋体" w:cs="宋体"/>
                <w:color w:val="auto"/>
                <w:kern w:val="0"/>
                <w:sz w:val="24"/>
                <w:szCs w:val="24"/>
                <w:lang w:val="en-US" w:eastAsia="zh-CN"/>
              </w:rPr>
              <w:t>信息</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备注、上传附件</w:t>
            </w:r>
            <w:r>
              <w:rPr>
                <w:rFonts w:hint="eastAsia" w:ascii="宋体" w:hAnsi="宋体" w:eastAsia="宋体" w:cs="宋体"/>
                <w:color w:val="auto"/>
                <w:kern w:val="0"/>
                <w:sz w:val="24"/>
                <w:szCs w:val="24"/>
              </w:rPr>
              <w:t>等数据统一呈现，无需多点切换查询，可直接在当前页面修改相关信息。</w:t>
            </w:r>
          </w:p>
          <w:p w14:paraId="300E512D">
            <w:pPr>
              <w:widowControl/>
              <w:numPr>
                <w:ilvl w:val="0"/>
                <w:numId w:val="4"/>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银行卡</w:t>
            </w:r>
            <w:r>
              <w:rPr>
                <w:rFonts w:hint="eastAsia" w:ascii="宋体" w:hAnsi="宋体" w:eastAsia="宋体" w:cs="宋体"/>
                <w:color w:val="auto"/>
                <w:kern w:val="0"/>
                <w:sz w:val="24"/>
                <w:szCs w:val="24"/>
                <w:lang w:val="en-US" w:eastAsia="zh-CN"/>
              </w:rPr>
              <w:t>信息</w:t>
            </w:r>
            <w:r>
              <w:rPr>
                <w:rFonts w:hint="eastAsia" w:ascii="宋体" w:hAnsi="宋体" w:cs="宋体"/>
                <w:color w:val="auto"/>
                <w:kern w:val="0"/>
                <w:sz w:val="24"/>
                <w:szCs w:val="24"/>
                <w:lang w:val="en-US" w:eastAsia="zh-CN"/>
              </w:rPr>
              <w:t>维护</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负责统一维护和管理所有银行及支行信息，为学生在绑定银行卡、选择退费账户等场景提供标准、准确、完整的银行网点数据，确保学生</w:t>
            </w:r>
            <w:r>
              <w:rPr>
                <w:rFonts w:hint="eastAsia" w:ascii="宋体" w:hAnsi="宋体" w:cs="宋体"/>
                <w:color w:val="auto"/>
                <w:kern w:val="0"/>
                <w:sz w:val="24"/>
                <w:szCs w:val="24"/>
                <w:lang w:val="en-US" w:eastAsia="zh-CN"/>
              </w:rPr>
              <w:t>在维护银行卡号、</w:t>
            </w:r>
            <w:r>
              <w:rPr>
                <w:rFonts w:hint="eastAsia" w:ascii="宋体" w:hAnsi="宋体" w:eastAsia="宋体" w:cs="宋体"/>
                <w:color w:val="auto"/>
                <w:kern w:val="0"/>
                <w:sz w:val="24"/>
                <w:szCs w:val="24"/>
              </w:rPr>
              <w:t>开户行</w:t>
            </w:r>
            <w:r>
              <w:rPr>
                <w:rFonts w:hint="eastAsia" w:ascii="宋体" w:hAnsi="宋体" w:cs="宋体"/>
                <w:color w:val="auto"/>
                <w:kern w:val="0"/>
                <w:sz w:val="24"/>
                <w:szCs w:val="24"/>
                <w:lang w:val="en-US" w:eastAsia="zh-CN"/>
              </w:rPr>
              <w:t>信息时系统运行</w:t>
            </w:r>
            <w:r>
              <w:rPr>
                <w:rFonts w:hint="eastAsia" w:ascii="宋体" w:hAnsi="宋体" w:eastAsia="宋体" w:cs="宋体"/>
                <w:color w:val="auto"/>
                <w:kern w:val="0"/>
                <w:sz w:val="24"/>
                <w:szCs w:val="24"/>
                <w:lang w:val="en-US" w:eastAsia="zh-CN"/>
              </w:rPr>
              <w:t>顺畅</w:t>
            </w:r>
            <w:r>
              <w:rPr>
                <w:rFonts w:hint="eastAsia" w:ascii="宋体" w:hAnsi="宋体" w:cs="宋体"/>
                <w:color w:val="auto"/>
                <w:kern w:val="0"/>
                <w:sz w:val="24"/>
                <w:szCs w:val="24"/>
                <w:lang w:val="en-US" w:eastAsia="zh-CN"/>
              </w:rPr>
              <w:t>，无延迟卡顿现象</w:t>
            </w:r>
            <w:r>
              <w:rPr>
                <w:rFonts w:hint="eastAsia" w:ascii="宋体" w:hAnsi="宋体" w:eastAsia="宋体" w:cs="宋体"/>
                <w:color w:val="auto"/>
                <w:kern w:val="0"/>
                <w:sz w:val="24"/>
                <w:szCs w:val="24"/>
              </w:rPr>
              <w:t>。</w:t>
            </w:r>
          </w:p>
          <w:p w14:paraId="466DDDDD">
            <w:pPr>
              <w:widowControl/>
              <w:numPr>
                <w:ilvl w:val="0"/>
                <w:numId w:val="4"/>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收费变动审核：</w:t>
            </w:r>
            <w:r>
              <w:rPr>
                <w:rFonts w:hint="eastAsia" w:ascii="宋体" w:hAnsi="宋体" w:eastAsia="宋体" w:cs="宋体"/>
                <w:color w:val="auto"/>
                <w:kern w:val="0"/>
                <w:sz w:val="24"/>
                <w:szCs w:val="24"/>
              </w:rPr>
              <w:t>对所有收费金额的修改操作进行全流程审核管控，确保每一笔收费调整都有据可查、有审可追，防止未经授权的收费变更，保障收费数据的准确性、合规性和安全性。</w:t>
            </w:r>
          </w:p>
          <w:p w14:paraId="7681833A">
            <w:pPr>
              <w:widowControl/>
              <w:numPr>
                <w:ilvl w:val="0"/>
                <w:numId w:val="4"/>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▲学籍变动审核：</w:t>
            </w:r>
            <w:r>
              <w:rPr>
                <w:rFonts w:hint="eastAsia" w:ascii="宋体" w:hAnsi="宋体" w:eastAsia="宋体" w:cs="宋体"/>
                <w:color w:val="auto"/>
                <w:kern w:val="0"/>
                <w:sz w:val="24"/>
                <w:szCs w:val="24"/>
              </w:rPr>
              <w:t>对学生基础信息和单位信息的异动操作进行全流程审核管控，所有信息变更必须经审批通过后方可生效，并</w:t>
            </w:r>
            <w:r>
              <w:rPr>
                <w:rFonts w:hint="eastAsia" w:ascii="宋体" w:hAnsi="宋体" w:cs="宋体"/>
                <w:color w:val="auto"/>
                <w:kern w:val="0"/>
                <w:sz w:val="24"/>
                <w:szCs w:val="24"/>
                <w:lang w:eastAsia="zh-CN"/>
              </w:rPr>
              <w:t>支持</w:t>
            </w:r>
            <w:r>
              <w:rPr>
                <w:rFonts w:hint="eastAsia" w:ascii="宋体" w:hAnsi="宋体" w:cs="宋体"/>
                <w:color w:val="auto"/>
                <w:kern w:val="0"/>
                <w:sz w:val="24"/>
                <w:szCs w:val="24"/>
                <w:lang w:val="en-US" w:eastAsia="zh-CN"/>
              </w:rPr>
              <w:t>单条或批量</w:t>
            </w:r>
            <w:r>
              <w:rPr>
                <w:rFonts w:hint="eastAsia" w:ascii="宋体" w:hAnsi="宋体" w:cs="宋体"/>
                <w:color w:val="auto"/>
                <w:kern w:val="0"/>
                <w:sz w:val="24"/>
                <w:szCs w:val="24"/>
                <w:lang w:eastAsia="zh-CN"/>
              </w:rPr>
              <w:t>上传</w:t>
            </w:r>
            <w:r>
              <w:rPr>
                <w:rFonts w:hint="eastAsia" w:ascii="宋体" w:hAnsi="宋体" w:cs="宋体"/>
                <w:color w:val="auto"/>
                <w:kern w:val="0"/>
                <w:sz w:val="24"/>
                <w:szCs w:val="24"/>
                <w:lang w:val="en-US" w:eastAsia="zh-CN"/>
              </w:rPr>
              <w:t>对应学生</w:t>
            </w:r>
            <w:r>
              <w:rPr>
                <w:rFonts w:hint="eastAsia" w:ascii="宋体" w:hAnsi="宋体" w:cs="宋体"/>
                <w:color w:val="auto"/>
                <w:kern w:val="0"/>
                <w:sz w:val="24"/>
                <w:szCs w:val="24"/>
                <w:lang w:eastAsia="zh-CN"/>
              </w:rPr>
              <w:t>收费依据附件（附件支持jpg、png、pdf</w:t>
            </w:r>
            <w:r>
              <w:rPr>
                <w:rFonts w:hint="eastAsia" w:ascii="宋体" w:hAnsi="宋体" w:cs="宋体"/>
                <w:color w:val="auto"/>
                <w:kern w:val="0"/>
                <w:sz w:val="24"/>
                <w:szCs w:val="24"/>
                <w:lang w:val="en-US" w:eastAsia="zh-CN"/>
              </w:rPr>
              <w:t>等</w:t>
            </w:r>
            <w:r>
              <w:rPr>
                <w:rFonts w:hint="eastAsia" w:ascii="宋体" w:hAnsi="宋体" w:cs="宋体"/>
                <w:color w:val="auto"/>
                <w:kern w:val="0"/>
                <w:sz w:val="24"/>
                <w:szCs w:val="24"/>
                <w:lang w:eastAsia="zh-CN"/>
              </w:rPr>
              <w:t>文件）</w:t>
            </w:r>
            <w:r>
              <w:rPr>
                <w:rFonts w:hint="eastAsia" w:ascii="宋体" w:hAnsi="宋体" w:eastAsia="宋体" w:cs="宋体"/>
                <w:color w:val="auto"/>
                <w:kern w:val="0"/>
                <w:sz w:val="24"/>
                <w:szCs w:val="24"/>
              </w:rPr>
              <w:t>作为审核依据，确保收费基础数据的准确性和可追溯性。</w:t>
            </w:r>
          </w:p>
          <w:p w14:paraId="09D1C7E4">
            <w:pPr>
              <w:widowControl/>
              <w:numPr>
                <w:ilvl w:val="0"/>
                <w:numId w:val="4"/>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▲学分结算：</w:t>
            </w:r>
            <w:r>
              <w:rPr>
                <w:rFonts w:hint="eastAsia" w:ascii="宋体" w:hAnsi="宋体" w:eastAsia="宋体" w:cs="宋体"/>
                <w:kern w:val="0"/>
                <w:sz w:val="24"/>
                <w:szCs w:val="24"/>
              </w:rPr>
              <w:t>支持管理学生学费收费项目的结算规则，可依据同步的选课数据，对学分制与学年制计费方式进行单独或批量切换。当配置字段为“否”时，采用常规学年制模式，根据应收金额与已交金额进行核算；当配置字段为“是”时，以学生所选课程学分总金额作为学费应收额，叠加其他项目应收金额后，扣除已交金额完成结算。</w:t>
            </w:r>
          </w:p>
          <w:p w14:paraId="393CEF85">
            <w:pPr>
              <w:widowControl/>
              <w:numPr>
                <w:ilvl w:val="0"/>
                <w:numId w:val="4"/>
              </w:numPr>
              <w:ind w:left="425" w:leftChars="0" w:hanging="425" w:firstLineChars="0"/>
              <w:jc w:val="left"/>
              <w:rPr>
                <w:rFonts w:hint="eastAsia" w:ascii="宋体" w:hAnsi="宋体" w:eastAsia="宋体" w:cs="宋体"/>
                <w:kern w:val="0"/>
                <w:sz w:val="24"/>
                <w:szCs w:val="24"/>
              </w:rPr>
            </w:pPr>
            <w:r>
              <w:rPr>
                <w:rFonts w:hint="eastAsia" w:ascii="宋体" w:hAnsi="宋体" w:cs="宋体"/>
                <w:kern w:val="0"/>
                <w:sz w:val="24"/>
                <w:szCs w:val="24"/>
                <w:lang w:val="en-US" w:eastAsia="zh-CN"/>
              </w:rPr>
              <w:t>学生信息变更：支持单条或批量处理学生转班、休学、参军、退学等学籍异动业务，并可查询查看学籍异动历史记录。</w:t>
            </w:r>
          </w:p>
          <w:p w14:paraId="61B9F343">
            <w:pPr>
              <w:widowControl/>
              <w:numPr>
                <w:ilvl w:val="0"/>
                <w:numId w:val="4"/>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▲学生信息同步：</w:t>
            </w:r>
            <w:r>
              <w:rPr>
                <w:rFonts w:hint="eastAsia" w:ascii="宋体" w:hAnsi="宋体" w:cs="宋体"/>
                <w:color w:val="auto"/>
                <w:kern w:val="0"/>
                <w:sz w:val="24"/>
                <w:szCs w:val="24"/>
                <w:lang w:val="en-US" w:eastAsia="zh-CN"/>
              </w:rPr>
              <w:t>可</w:t>
            </w:r>
            <w:r>
              <w:rPr>
                <w:rFonts w:hint="eastAsia" w:ascii="宋体" w:hAnsi="宋体" w:eastAsia="宋体" w:cs="宋体"/>
                <w:color w:val="auto"/>
                <w:kern w:val="0"/>
                <w:sz w:val="24"/>
                <w:szCs w:val="24"/>
              </w:rPr>
              <w:t>实现</w:t>
            </w:r>
            <w:r>
              <w:rPr>
                <w:rFonts w:hint="eastAsia" w:ascii="宋体" w:hAnsi="宋体" w:cs="宋体"/>
                <w:color w:val="auto"/>
                <w:kern w:val="0"/>
                <w:sz w:val="24"/>
                <w:szCs w:val="24"/>
                <w:lang w:val="en-US" w:eastAsia="zh-CN"/>
              </w:rPr>
              <w:t>与招就、教务、研究生院等多部门针对</w:t>
            </w:r>
            <w:r>
              <w:rPr>
                <w:rFonts w:hint="eastAsia" w:ascii="宋体" w:hAnsi="宋体" w:eastAsia="宋体" w:cs="宋体"/>
                <w:color w:val="auto"/>
                <w:kern w:val="0"/>
                <w:sz w:val="24"/>
                <w:szCs w:val="24"/>
              </w:rPr>
              <w:t>学生基础信息、学籍状态、班级专业、学制学历等数据的定时自动同步、手动触发同步，确保财务系统学生数据的准确性、完整性和时效性。</w:t>
            </w:r>
          </w:p>
          <w:p w14:paraId="52CC8ACF">
            <w:pPr>
              <w:widowControl/>
              <w:numPr>
                <w:ilvl w:val="0"/>
                <w:numId w:val="4"/>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▲选课数据同步：</w:t>
            </w:r>
            <w:r>
              <w:rPr>
                <w:rFonts w:hint="eastAsia" w:ascii="宋体" w:hAnsi="宋体" w:eastAsia="宋体" w:cs="宋体"/>
                <w:color w:val="auto"/>
                <w:kern w:val="0"/>
                <w:sz w:val="24"/>
                <w:szCs w:val="24"/>
              </w:rPr>
              <w:t>实现</w:t>
            </w:r>
            <w:r>
              <w:rPr>
                <w:rFonts w:hint="eastAsia" w:ascii="宋体" w:hAnsi="宋体" w:cs="宋体"/>
                <w:color w:val="auto"/>
                <w:kern w:val="0"/>
                <w:sz w:val="24"/>
                <w:szCs w:val="24"/>
                <w:lang w:val="en-US" w:eastAsia="zh-CN"/>
              </w:rPr>
              <w:t>与教务部门针对</w:t>
            </w:r>
            <w:r>
              <w:rPr>
                <w:rFonts w:hint="eastAsia" w:ascii="宋体" w:hAnsi="宋体" w:eastAsia="宋体" w:cs="宋体"/>
                <w:color w:val="auto"/>
                <w:kern w:val="0"/>
                <w:sz w:val="24"/>
                <w:szCs w:val="24"/>
              </w:rPr>
              <w:t>学生选课学分、课程信息、选课状态、退课记录等数据的定时自动同步、增量实时同步、手动触发同步，为学分制收费提供准确、及时的计费依据。</w:t>
            </w:r>
          </w:p>
          <w:p w14:paraId="3C70BEDD">
            <w:pPr>
              <w:widowControl/>
              <w:numPr>
                <w:ilvl w:val="0"/>
                <w:numId w:val="5"/>
              </w:numPr>
              <w:ind w:firstLine="482" w:firstLineChars="200"/>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收费项目</w:t>
            </w:r>
          </w:p>
          <w:p w14:paraId="1FA3D0D7">
            <w:pPr>
              <w:widowControl/>
              <w:numPr>
                <w:ilvl w:val="0"/>
                <w:numId w:val="6"/>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收费项目类型：</w:t>
            </w:r>
            <w:r>
              <w:rPr>
                <w:rFonts w:hint="eastAsia" w:ascii="宋体" w:hAnsi="宋体" w:eastAsia="宋体" w:cs="宋体"/>
                <w:color w:val="auto"/>
                <w:kern w:val="0"/>
                <w:sz w:val="24"/>
                <w:szCs w:val="24"/>
              </w:rPr>
              <w:t>支持用户自定义新增任意收费项目业务（如学</w:t>
            </w:r>
            <w:r>
              <w:rPr>
                <w:rFonts w:hint="eastAsia" w:ascii="宋体" w:hAnsi="宋体" w:cs="宋体"/>
                <w:color w:val="auto"/>
                <w:kern w:val="0"/>
                <w:sz w:val="24"/>
                <w:szCs w:val="24"/>
                <w:lang w:val="en-US" w:eastAsia="zh-CN"/>
              </w:rPr>
              <w:t>宿</w:t>
            </w:r>
            <w:r>
              <w:rPr>
                <w:rFonts w:hint="eastAsia" w:ascii="宋体" w:hAnsi="宋体" w:eastAsia="宋体" w:cs="宋体"/>
                <w:color w:val="auto"/>
                <w:kern w:val="0"/>
                <w:sz w:val="24"/>
                <w:szCs w:val="24"/>
              </w:rPr>
              <w:t>费业务、考试业务、培训业务、水电费业务等），实现不同类型收费的区分统计。</w:t>
            </w:r>
          </w:p>
          <w:p w14:paraId="54627F9C">
            <w:pPr>
              <w:widowControl/>
              <w:numPr>
                <w:ilvl w:val="0"/>
                <w:numId w:val="6"/>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▲收费项目信息：</w:t>
            </w:r>
            <w:r>
              <w:rPr>
                <w:rFonts w:hint="eastAsia" w:ascii="宋体" w:hAnsi="宋体" w:eastAsia="宋体" w:cs="宋体"/>
                <w:color w:val="auto"/>
                <w:kern w:val="0"/>
                <w:sz w:val="24"/>
                <w:szCs w:val="24"/>
              </w:rPr>
              <w:t>支持根据收费项目类型添加和管理具体的收费项目信息，并为每个收费项目生成专属收款二维码，实现扫码即缴</w:t>
            </w:r>
            <w:r>
              <w:rPr>
                <w:rFonts w:hint="eastAsia" w:ascii="宋体" w:hAnsi="宋体" w:cs="宋体"/>
                <w:color w:val="auto"/>
                <w:kern w:val="0"/>
                <w:sz w:val="24"/>
                <w:szCs w:val="24"/>
                <w:lang w:val="en-US" w:eastAsia="zh-CN"/>
              </w:rPr>
              <w:t>费</w:t>
            </w:r>
            <w:r>
              <w:rPr>
                <w:rFonts w:hint="eastAsia" w:ascii="宋体" w:hAnsi="宋体" w:eastAsia="宋体" w:cs="宋体"/>
                <w:color w:val="auto"/>
                <w:kern w:val="0"/>
                <w:sz w:val="24"/>
                <w:szCs w:val="24"/>
              </w:rPr>
              <w:t>的便捷收费模式，满足临时收费、定向收款等多样化场景需求。</w:t>
            </w:r>
            <w:r>
              <w:rPr>
                <w:rFonts w:hint="eastAsia" w:ascii="宋体" w:hAnsi="宋体" w:cs="宋体"/>
                <w:color w:val="auto"/>
                <w:kern w:val="0"/>
                <w:sz w:val="24"/>
                <w:szCs w:val="24"/>
                <w:lang w:val="en-US" w:eastAsia="zh-CN"/>
              </w:rPr>
              <w:t>（须满足其他收费板块各项收入生成对应业务号明细及汇总数据，并与学校会计核算系统对接入账，</w:t>
            </w:r>
            <w:r>
              <w:rPr>
                <w:rFonts w:hint="eastAsia" w:ascii="宋体" w:hAnsi="宋体" w:eastAsia="宋体" w:cs="宋体"/>
                <w:color w:val="auto"/>
                <w:kern w:val="0"/>
                <w:sz w:val="24"/>
                <w:szCs w:val="24"/>
              </w:rPr>
              <w:t>实现财务数据的自动化流转与账务处理。</w:t>
            </w:r>
          </w:p>
          <w:p w14:paraId="1B1BD190">
            <w:pPr>
              <w:widowControl/>
              <w:numPr>
                <w:ilvl w:val="0"/>
                <w:numId w:val="6"/>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提供停车缴费系统</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可直接与学校出入闸机系统对接，为学校车辆出入提供便捷的缴费服务。</w:t>
            </w:r>
          </w:p>
          <w:p w14:paraId="13CDF3A6">
            <w:pPr>
              <w:widowControl/>
              <w:numPr>
                <w:ilvl w:val="0"/>
                <w:numId w:val="6"/>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收费项目导入：</w:t>
            </w:r>
            <w:r>
              <w:rPr>
                <w:rFonts w:hint="eastAsia" w:ascii="宋体" w:hAnsi="宋体" w:eastAsia="宋体" w:cs="宋体"/>
                <w:color w:val="auto"/>
                <w:kern w:val="0"/>
                <w:sz w:val="24"/>
                <w:szCs w:val="24"/>
              </w:rPr>
              <w:t>支持通过Excel模板批量设置或调整学生的收费项目与收费标准，满足大规模学生收费配置、历史学期数据补录、收费标准调整等场景需求，支持重复导入覆盖和历史学期项目追溯调整，大幅提升收费数据维护效率。</w:t>
            </w:r>
          </w:p>
          <w:p w14:paraId="6387F35F">
            <w:pPr>
              <w:widowControl/>
              <w:numPr>
                <w:ilvl w:val="0"/>
                <w:numId w:val="6"/>
              </w:numPr>
              <w:ind w:left="425" w:leftChars="0" w:hanging="425" w:firstLineChars="0"/>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单位收费：</w:t>
            </w:r>
            <w:r>
              <w:rPr>
                <w:rFonts w:hint="eastAsia" w:ascii="宋体" w:hAnsi="宋体" w:eastAsia="宋体" w:cs="宋体"/>
                <w:color w:val="auto"/>
                <w:kern w:val="0"/>
                <w:sz w:val="24"/>
                <w:szCs w:val="24"/>
              </w:rPr>
              <w:t>支持按院系、专业、班级等组织单位批量设置收费项目与标准，并能够在学生发生单位异动（转专业、转班级、休复学等）时自动或手动调整相关费用，确保收费数据与学籍状态同步更新，避免收费错漏</w:t>
            </w:r>
            <w:r>
              <w:rPr>
                <w:rFonts w:hint="eastAsia" w:ascii="宋体" w:hAnsi="宋体" w:eastAsia="宋体" w:cs="宋体"/>
                <w:color w:val="auto"/>
                <w:kern w:val="0"/>
                <w:sz w:val="24"/>
                <w:szCs w:val="24"/>
                <w:lang w:eastAsia="zh-CN"/>
              </w:rPr>
              <w:t>。</w:t>
            </w:r>
          </w:p>
          <w:p w14:paraId="4AB6F9CD">
            <w:pPr>
              <w:widowControl/>
              <w:numPr>
                <w:ilvl w:val="0"/>
                <w:numId w:val="6"/>
              </w:numPr>
              <w:ind w:left="425" w:leftChars="0" w:hanging="425" w:firstLineChars="0"/>
              <w:jc w:val="left"/>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收费项目抵扣：</w:t>
            </w:r>
            <w:r>
              <w:rPr>
                <w:rFonts w:hint="eastAsia" w:ascii="宋体" w:hAnsi="宋体" w:eastAsia="宋体" w:cs="宋体"/>
                <w:color w:val="auto"/>
                <w:kern w:val="0"/>
                <w:sz w:val="24"/>
                <w:szCs w:val="24"/>
              </w:rPr>
              <w:t>支持导入多种抵扣方式（虚拟贷款、减免、退伍补偿、缓交等），在应收学费基础上自动计算抵扣金额，生成最终应缴金额，实现收费项目的精细化管理和个性化收费处理。</w:t>
            </w:r>
          </w:p>
          <w:p w14:paraId="7A38763C">
            <w:pPr>
              <w:widowControl/>
              <w:numPr>
                <w:ilvl w:val="0"/>
                <w:numId w:val="0"/>
              </w:numPr>
              <w:ind w:firstLine="482" w:firstLineChars="200"/>
              <w:jc w:val="left"/>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六</w:t>
            </w:r>
            <w:r>
              <w:rPr>
                <w:rFonts w:hint="eastAsia" w:ascii="宋体" w:hAnsi="宋体" w:eastAsia="宋体" w:cs="宋体"/>
                <w:b/>
                <w:bCs/>
                <w:color w:val="auto"/>
                <w:kern w:val="0"/>
                <w:sz w:val="24"/>
                <w:szCs w:val="24"/>
                <w:lang w:val="en-US" w:eastAsia="zh-CN"/>
              </w:rPr>
              <w:t>、学分课程</w:t>
            </w:r>
          </w:p>
          <w:p w14:paraId="351E6A69">
            <w:pPr>
              <w:widowControl/>
              <w:numPr>
                <w:ilvl w:val="0"/>
                <w:numId w:val="7"/>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学分课程管理：</w:t>
            </w:r>
            <w:r>
              <w:rPr>
                <w:rFonts w:hint="eastAsia" w:ascii="宋体" w:hAnsi="宋体" w:eastAsia="宋体" w:cs="宋体"/>
                <w:color w:val="auto"/>
                <w:kern w:val="0"/>
                <w:sz w:val="24"/>
                <w:szCs w:val="24"/>
              </w:rPr>
              <w:t>负责维护各专业的学分单价和课程类型信息，为学分制学费计算提供基础参数，支持按专业、年级、学制等维度设置差异化学分单价，按课程类型（</w:t>
            </w:r>
            <w:r>
              <w:rPr>
                <w:rFonts w:hint="eastAsia" w:ascii="宋体" w:hAnsi="宋体" w:cs="宋体"/>
                <w:color w:val="auto"/>
                <w:kern w:val="0"/>
                <w:sz w:val="24"/>
                <w:szCs w:val="24"/>
                <w:lang w:val="en-US" w:eastAsia="zh-CN"/>
              </w:rPr>
              <w:t>公共课、专业课、</w:t>
            </w:r>
            <w:r>
              <w:rPr>
                <w:rFonts w:hint="eastAsia" w:ascii="宋体" w:hAnsi="宋体" w:eastAsia="宋体" w:cs="宋体"/>
                <w:color w:val="auto"/>
                <w:kern w:val="0"/>
                <w:sz w:val="24"/>
                <w:szCs w:val="24"/>
              </w:rPr>
              <w:t>重修、选修、必修等）设置不同的计费规则，实现精准、灵活的学分制收费管理。</w:t>
            </w:r>
          </w:p>
          <w:p w14:paraId="33E02BE2">
            <w:pPr>
              <w:widowControl/>
              <w:numPr>
                <w:ilvl w:val="0"/>
                <w:numId w:val="7"/>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学生课程项目：</w:t>
            </w:r>
            <w:r>
              <w:rPr>
                <w:rFonts w:hint="eastAsia" w:ascii="宋体" w:hAnsi="宋体" w:cs="宋体"/>
                <w:color w:val="auto"/>
                <w:kern w:val="0"/>
                <w:sz w:val="24"/>
                <w:szCs w:val="24"/>
                <w:lang w:val="en-US" w:eastAsia="zh-CN"/>
              </w:rPr>
              <w:t>支持</w:t>
            </w:r>
            <w:r>
              <w:rPr>
                <w:rFonts w:hint="eastAsia" w:ascii="宋体" w:hAnsi="宋体" w:eastAsia="宋体" w:cs="宋体"/>
                <w:color w:val="auto"/>
                <w:kern w:val="0"/>
                <w:sz w:val="24"/>
                <w:szCs w:val="24"/>
              </w:rPr>
              <w:t>查询和导出学生所选课程信息及对应的学分单价标准，清晰展示每门课程的课程名称、课程类型、学分数、单价、应缴金额等明细，为学生学分学费计算提供数据支撑，满足学生查询、财务核对、数据导出等需求。</w:t>
            </w:r>
          </w:p>
          <w:p w14:paraId="50D8AF82">
            <w:pPr>
              <w:widowControl/>
              <w:numPr>
                <w:ilvl w:val="0"/>
                <w:numId w:val="0"/>
              </w:numPr>
              <w:ind w:firstLine="482" w:firstLineChars="200"/>
              <w:jc w:val="left"/>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七</w:t>
            </w:r>
            <w:r>
              <w:rPr>
                <w:rFonts w:hint="eastAsia" w:ascii="宋体" w:hAnsi="宋体" w:eastAsia="宋体" w:cs="宋体"/>
                <w:b/>
                <w:bCs/>
                <w:color w:val="auto"/>
                <w:kern w:val="0"/>
                <w:sz w:val="24"/>
                <w:szCs w:val="24"/>
                <w:lang w:val="en-US" w:eastAsia="zh-CN"/>
              </w:rPr>
              <w:t>、票据管理</w:t>
            </w:r>
          </w:p>
          <w:p w14:paraId="40423D0A">
            <w:pPr>
              <w:widowControl/>
              <w:numPr>
                <w:ilvl w:val="0"/>
                <w:numId w:val="8"/>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票据图片：</w:t>
            </w:r>
            <w:r>
              <w:rPr>
                <w:rFonts w:hint="eastAsia" w:ascii="宋体" w:hAnsi="宋体" w:eastAsia="宋体" w:cs="宋体"/>
                <w:color w:val="auto"/>
                <w:kern w:val="0"/>
                <w:sz w:val="24"/>
                <w:szCs w:val="24"/>
              </w:rPr>
              <w:t>负责实现各类收费票据（电子发票、财政票据、非税票据等）的图片化展示、在线预览与下载等功能，为财务人员和缴费人提供便捷、规范的电子票据服务。</w:t>
            </w:r>
          </w:p>
          <w:p w14:paraId="65D6413B">
            <w:pPr>
              <w:widowControl/>
              <w:numPr>
                <w:ilvl w:val="0"/>
                <w:numId w:val="8"/>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学校开票配置：配置学校的开票参数信息设置。</w:t>
            </w:r>
          </w:p>
          <w:p w14:paraId="3B7F0BFD">
            <w:pPr>
              <w:widowControl/>
              <w:numPr>
                <w:ilvl w:val="0"/>
                <w:numId w:val="8"/>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可用票据信息：</w:t>
            </w:r>
            <w:r>
              <w:rPr>
                <w:rFonts w:hint="eastAsia" w:ascii="宋体" w:hAnsi="宋体" w:eastAsia="宋体" w:cs="宋体"/>
                <w:color w:val="auto"/>
                <w:kern w:val="0"/>
                <w:sz w:val="24"/>
                <w:szCs w:val="24"/>
              </w:rPr>
              <w:t>负责与财政票据系统进行数据同步，实时获取并展示当前可用的票据种类、票据号码段、使用状态等信息，为开票业务提供准确的票据资源保障，确保开票操作有票可用、规范合规。</w:t>
            </w:r>
          </w:p>
          <w:p w14:paraId="1E8013DB">
            <w:pPr>
              <w:widowControl/>
              <w:numPr>
                <w:ilvl w:val="0"/>
                <w:numId w:val="8"/>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电子票开票管理：</w:t>
            </w:r>
            <w:r>
              <w:rPr>
                <w:rFonts w:hint="eastAsia" w:ascii="宋体" w:hAnsi="宋体" w:cs="宋体"/>
                <w:color w:val="auto"/>
                <w:kern w:val="0"/>
                <w:sz w:val="24"/>
                <w:szCs w:val="24"/>
                <w:lang w:val="en-US" w:eastAsia="zh-CN"/>
              </w:rPr>
              <w:t>支持根据收费系统各项收费业务</w:t>
            </w:r>
            <w:r>
              <w:rPr>
                <w:rFonts w:hint="eastAsia" w:ascii="宋体" w:hAnsi="宋体" w:eastAsia="宋体" w:cs="宋体"/>
                <w:color w:val="auto"/>
                <w:kern w:val="0"/>
                <w:sz w:val="24"/>
                <w:szCs w:val="24"/>
              </w:rPr>
              <w:t>实现财政电子票据、税务电子发票的自动开具、批量开票管理，为缴费人提供便捷的电子票据服务，同时满足财政、税务部门的监管要求。</w:t>
            </w:r>
          </w:p>
          <w:p w14:paraId="71B92D98">
            <w:pPr>
              <w:widowControl/>
              <w:numPr>
                <w:ilvl w:val="0"/>
                <w:numId w:val="8"/>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部分退费换票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针对学生发生部分退费后需要重新开票的场景，提供退费数据勾选、缴费数据关联、原票自动红冲、抵扣金额计算、新票自动开具的一站式处理能力，确保退费后票据金额与实际应收金额保持一致。</w:t>
            </w:r>
          </w:p>
          <w:p w14:paraId="64E61EF5">
            <w:pPr>
              <w:widowControl/>
              <w:numPr>
                <w:ilvl w:val="0"/>
                <w:numId w:val="0"/>
              </w:numPr>
              <w:ind w:firstLine="482" w:firstLineChars="200"/>
              <w:jc w:val="left"/>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八</w:t>
            </w:r>
            <w:r>
              <w:rPr>
                <w:rFonts w:hint="eastAsia" w:ascii="宋体" w:hAnsi="宋体" w:eastAsia="宋体" w:cs="宋体"/>
                <w:b/>
                <w:bCs/>
                <w:color w:val="auto"/>
                <w:kern w:val="0"/>
                <w:sz w:val="24"/>
                <w:szCs w:val="24"/>
                <w:lang w:val="en-US" w:eastAsia="zh-CN"/>
              </w:rPr>
              <w:t>、统一支付平台</w:t>
            </w:r>
          </w:p>
          <w:p w14:paraId="3A9AF0E9">
            <w:pPr>
              <w:widowControl/>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能够打造学校专属的支付平台，学校可自行定义收费项目、收费类别以及对应的银行账户；对接</w:t>
            </w:r>
            <w:r>
              <w:rPr>
                <w:rFonts w:hint="eastAsia" w:ascii="宋体" w:hAnsi="宋体" w:cs="宋体"/>
                <w:color w:val="auto"/>
                <w:kern w:val="0"/>
                <w:sz w:val="24"/>
                <w:szCs w:val="24"/>
                <w:lang w:val="en-US" w:eastAsia="zh-CN"/>
              </w:rPr>
              <w:t>授权至其他学院</w:t>
            </w:r>
            <w:r>
              <w:rPr>
                <w:rFonts w:hint="eastAsia" w:ascii="宋体" w:hAnsi="宋体" w:eastAsia="宋体" w:cs="宋体"/>
                <w:color w:val="auto"/>
                <w:kern w:val="0"/>
                <w:sz w:val="24"/>
                <w:szCs w:val="24"/>
              </w:rPr>
              <w:t>部门的收费系统</w:t>
            </w:r>
            <w:r>
              <w:rPr>
                <w:rFonts w:hint="eastAsia" w:ascii="宋体" w:hAnsi="宋体" w:cs="宋体"/>
                <w:color w:val="auto"/>
                <w:kern w:val="0"/>
                <w:sz w:val="24"/>
                <w:szCs w:val="24"/>
                <w:lang w:val="en-US" w:eastAsia="zh-CN"/>
              </w:rPr>
              <w:t>子版块</w:t>
            </w:r>
            <w:r>
              <w:rPr>
                <w:rFonts w:hint="eastAsia" w:ascii="宋体" w:hAnsi="宋体" w:eastAsia="宋体" w:cs="宋体"/>
                <w:color w:val="auto"/>
                <w:kern w:val="0"/>
                <w:sz w:val="24"/>
                <w:szCs w:val="24"/>
              </w:rPr>
              <w:t>，实现学校所有缴费统一登录入口、统一支付界面、统一缴费明细查询界面。</w:t>
            </w:r>
          </w:p>
          <w:p w14:paraId="468B8067">
            <w:pPr>
              <w:widowControl/>
              <w:numPr>
                <w:ilvl w:val="0"/>
                <w:numId w:val="9"/>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提供支付标准接口，便于学校其他系统进行对接，满足学校各部门的支付需求。</w:t>
            </w:r>
          </w:p>
          <w:p w14:paraId="6C7E85BE">
            <w:pPr>
              <w:widowControl/>
              <w:numPr>
                <w:ilvl w:val="0"/>
                <w:numId w:val="9"/>
              </w:numPr>
              <w:ind w:left="425" w:leftChars="0" w:hanging="425" w:firstLineChars="0"/>
              <w:jc w:val="left"/>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color w:val="auto"/>
                <w:kern w:val="0"/>
                <w:sz w:val="24"/>
                <w:szCs w:val="24"/>
              </w:rPr>
              <w:t>临时收费管理系统：支持学校相关单位和部门发布收费项目及金额，能够限定收费期限，还可自行设定是单次收费还是重复收费；师生或外部单位人员录入基本信息后，可自主选择缴费项目，收费项目可按固定金额缴费，也能自定义缴费金额。</w:t>
            </w:r>
          </w:p>
          <w:p w14:paraId="7E674746">
            <w:pPr>
              <w:widowControl/>
              <w:numPr>
                <w:ilvl w:val="0"/>
                <w:numId w:val="9"/>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统一对账，不同收费类别、不同收费系统的收费，统一</w:t>
            </w:r>
            <w:r>
              <w:rPr>
                <w:rFonts w:hint="eastAsia" w:ascii="宋体" w:hAnsi="宋体" w:cs="宋体"/>
                <w:color w:val="auto"/>
                <w:kern w:val="0"/>
                <w:sz w:val="24"/>
                <w:szCs w:val="24"/>
                <w:lang w:val="en-US" w:eastAsia="zh-CN"/>
              </w:rPr>
              <w:t>在</w:t>
            </w:r>
            <w:r>
              <w:rPr>
                <w:rFonts w:hint="eastAsia" w:ascii="宋体" w:hAnsi="宋体" w:eastAsia="宋体" w:cs="宋体"/>
                <w:color w:val="auto"/>
                <w:kern w:val="0"/>
                <w:sz w:val="24"/>
                <w:szCs w:val="24"/>
              </w:rPr>
              <w:t>一个界面对账，</w:t>
            </w:r>
            <w:r>
              <w:rPr>
                <w:rFonts w:hint="eastAsia" w:ascii="宋体" w:hAnsi="宋体" w:cs="宋体"/>
                <w:color w:val="auto"/>
                <w:kern w:val="0"/>
                <w:sz w:val="24"/>
                <w:szCs w:val="24"/>
                <w:lang w:val="en-US" w:eastAsia="zh-CN"/>
              </w:rPr>
              <w:t>避免出现</w:t>
            </w:r>
            <w:r>
              <w:rPr>
                <w:rFonts w:hint="eastAsia" w:ascii="宋体" w:hAnsi="宋体" w:eastAsia="宋体" w:cs="宋体"/>
                <w:color w:val="auto"/>
                <w:kern w:val="0"/>
                <w:sz w:val="24"/>
                <w:szCs w:val="24"/>
              </w:rPr>
              <w:t>登录不同收费系统进行对账的弊端。</w:t>
            </w:r>
          </w:p>
          <w:p w14:paraId="07647FD9">
            <w:pPr>
              <w:widowControl/>
              <w:numPr>
                <w:ilvl w:val="0"/>
                <w:numId w:val="9"/>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自动分账，支持多类别收费资金进入同一银行账户时按类别独立分账入账，避免多类别合并进账，便于精准核对账务。</w:t>
            </w:r>
          </w:p>
          <w:p w14:paraId="4C4A190C">
            <w:pPr>
              <w:widowControl/>
              <w:numPr>
                <w:ilvl w:val="0"/>
                <w:numId w:val="9"/>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统一查询，不同收费类别、不同收费系统的缴费明细自动归到</w:t>
            </w:r>
            <w:r>
              <w:rPr>
                <w:rFonts w:hint="eastAsia" w:ascii="宋体" w:hAnsi="宋体" w:cs="宋体"/>
                <w:color w:val="auto"/>
                <w:kern w:val="0"/>
                <w:sz w:val="24"/>
                <w:szCs w:val="24"/>
                <w:lang w:val="en-US" w:eastAsia="zh-CN"/>
              </w:rPr>
              <w:t>对应人员</w:t>
            </w:r>
            <w:r>
              <w:rPr>
                <w:rFonts w:hint="eastAsia" w:ascii="宋体" w:hAnsi="宋体" w:eastAsia="宋体" w:cs="宋体"/>
                <w:color w:val="auto"/>
                <w:kern w:val="0"/>
                <w:sz w:val="24"/>
                <w:szCs w:val="24"/>
              </w:rPr>
              <w:t>名下，</w:t>
            </w:r>
            <w:r>
              <w:rPr>
                <w:rFonts w:hint="eastAsia" w:ascii="宋体" w:hAnsi="宋体" w:cs="宋体"/>
                <w:color w:val="auto"/>
                <w:kern w:val="0"/>
                <w:sz w:val="24"/>
                <w:szCs w:val="24"/>
                <w:lang w:val="en-US" w:eastAsia="zh-CN"/>
              </w:rPr>
              <w:t>统一在一个</w:t>
            </w:r>
            <w:r>
              <w:rPr>
                <w:rFonts w:hint="eastAsia" w:ascii="宋体" w:hAnsi="宋体" w:eastAsia="宋体" w:cs="宋体"/>
                <w:color w:val="auto"/>
                <w:kern w:val="0"/>
                <w:sz w:val="24"/>
                <w:szCs w:val="24"/>
              </w:rPr>
              <w:t>界面完整查询。</w:t>
            </w:r>
          </w:p>
          <w:p w14:paraId="4A228D21">
            <w:pPr>
              <w:widowControl/>
              <w:numPr>
                <w:ilvl w:val="0"/>
                <w:numId w:val="9"/>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可以实现由其他收费系统提供接口，支付平台进行接口处理，实现支付平台与这些系统的支付对接，如电控系统的电费充值、食堂消费系统的饭卡充值、热水系统的热水充值等。</w:t>
            </w:r>
          </w:p>
          <w:p w14:paraId="66933D35">
            <w:pPr>
              <w:widowControl/>
              <w:numPr>
                <w:ilvl w:val="0"/>
                <w:numId w:val="9"/>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支付管理系统对所有支付订单进行管理，成功与失败订单均进行记录，提供给各收费系统查询。</w:t>
            </w:r>
          </w:p>
          <w:p w14:paraId="2A5E622D">
            <w:pPr>
              <w:widowControl/>
              <w:numPr>
                <w:ilvl w:val="0"/>
                <w:numId w:val="9"/>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对账管理系统，支付平台与对接的每一个收费系统进行独立数据对账管理，与对应的收费系统进行成功支付数据主动推送与轮询推送，直至相应收费系统收到并回复确认信息，自动记录推送时间与是否成功。</w:t>
            </w:r>
          </w:p>
          <w:p w14:paraId="1B157B11">
            <w:pPr>
              <w:widowControl/>
              <w:numPr>
                <w:ilvl w:val="0"/>
                <w:numId w:val="9"/>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网页与手机H5缴费系统为师生提供缴费登录界面，实现学校所有收费的统一登录入口，一次登录即可缴纳学校的所有费用或进行充值；师生不同收费系统的缴费明细会自动归集管理，在一个界面可查询所有收费类别的缴费明细。</w:t>
            </w:r>
          </w:p>
          <w:p w14:paraId="5C643BA8">
            <w:pPr>
              <w:widowControl/>
              <w:numPr>
                <w:ilvl w:val="0"/>
                <w:numId w:val="0"/>
              </w:numPr>
              <w:ind w:firstLine="482" w:firstLineChars="200"/>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九</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支付管理</w:t>
            </w:r>
          </w:p>
          <w:p w14:paraId="4D3DE704">
            <w:pPr>
              <w:widowControl/>
              <w:numPr>
                <w:ilvl w:val="0"/>
                <w:numId w:val="10"/>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支付订单查询：</w:t>
            </w:r>
            <w:r>
              <w:rPr>
                <w:rFonts w:hint="eastAsia" w:ascii="宋体" w:hAnsi="宋体" w:eastAsia="宋体" w:cs="宋体"/>
                <w:color w:val="auto"/>
                <w:kern w:val="0"/>
                <w:sz w:val="24"/>
                <w:szCs w:val="24"/>
              </w:rPr>
              <w:t>负责统一管理所有通过支付平台产生的支付订单，完整记录成功与失败订单的全部信息，为各业务系统、财务人员</w:t>
            </w:r>
            <w:r>
              <w:rPr>
                <w:rFonts w:hint="eastAsia" w:ascii="宋体" w:hAnsi="宋体" w:cs="宋体"/>
                <w:color w:val="auto"/>
                <w:kern w:val="0"/>
                <w:sz w:val="24"/>
                <w:szCs w:val="24"/>
                <w:lang w:val="en-US" w:eastAsia="zh-CN"/>
              </w:rPr>
              <w:t>等</w:t>
            </w:r>
            <w:r>
              <w:rPr>
                <w:rFonts w:hint="eastAsia" w:ascii="宋体" w:hAnsi="宋体" w:eastAsia="宋体" w:cs="宋体"/>
                <w:color w:val="auto"/>
                <w:kern w:val="0"/>
                <w:sz w:val="24"/>
                <w:szCs w:val="24"/>
              </w:rPr>
              <w:t>提供统一的订单查询入口，实现跨系统、跨渠道的订单信息追溯能力。</w:t>
            </w:r>
          </w:p>
          <w:p w14:paraId="4E77A142">
            <w:pPr>
              <w:widowControl/>
              <w:numPr>
                <w:ilvl w:val="0"/>
                <w:numId w:val="10"/>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支付订单对账：</w:t>
            </w:r>
            <w:r>
              <w:rPr>
                <w:rFonts w:hint="eastAsia" w:ascii="宋体" w:hAnsi="宋体" w:eastAsia="宋体" w:cs="宋体"/>
                <w:color w:val="auto"/>
                <w:kern w:val="0"/>
                <w:sz w:val="24"/>
                <w:szCs w:val="24"/>
              </w:rPr>
              <w:t>负责支付平台与各业务系统（收费系统、电控系统、食堂系统、热水系统等）之间的独立数据对账管理，通过主动推送</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轮询推送的双重保障机制，确保每一笔成功支付数据准确送达业务系统，并自动记录推送全过程，实现支付平台与业务系统数据零差异的核心目标。</w:t>
            </w:r>
          </w:p>
          <w:p w14:paraId="06E1B242">
            <w:pPr>
              <w:widowControl/>
              <w:numPr>
                <w:ilvl w:val="0"/>
                <w:numId w:val="10"/>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支付渠道账单：</w:t>
            </w:r>
            <w:r>
              <w:rPr>
                <w:rFonts w:hint="eastAsia" w:ascii="宋体" w:hAnsi="宋体" w:eastAsia="宋体" w:cs="宋体"/>
                <w:color w:val="auto"/>
                <w:kern w:val="0"/>
                <w:sz w:val="24"/>
                <w:szCs w:val="24"/>
              </w:rPr>
              <w:t>负责按日统计和管理每个网上支付渠道（微信支付、支付宝、银联、银行卡等）的缴费金额、交易笔数、成功笔数、失败笔数、手续费等关键数据，为财务对账、渠道成本分析、资金归集提供精准的渠道维度统计数据。</w:t>
            </w:r>
          </w:p>
          <w:p w14:paraId="6ECB4187">
            <w:pPr>
              <w:widowControl/>
              <w:numPr>
                <w:ilvl w:val="0"/>
                <w:numId w:val="10"/>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支付商户号管理：</w:t>
            </w:r>
            <w:r>
              <w:rPr>
                <w:rFonts w:hint="eastAsia" w:ascii="宋体" w:hAnsi="宋体" w:eastAsia="宋体" w:cs="宋体"/>
                <w:color w:val="auto"/>
                <w:kern w:val="0"/>
                <w:sz w:val="24"/>
                <w:szCs w:val="24"/>
              </w:rPr>
              <w:t>负责统一管理和配置各支付渠道（微信、支付宝、银联等）的商户号资源，支持将不同收费项目绑定到指定商户号，实现项目缴费自动区分入账，满足学校资金分账管理、财务核算、对账清晰的核心需求</w:t>
            </w:r>
            <w:r>
              <w:rPr>
                <w:rFonts w:hint="eastAsia" w:ascii="宋体" w:hAnsi="宋体" w:eastAsia="宋体" w:cs="宋体"/>
                <w:color w:val="auto"/>
                <w:kern w:val="0"/>
                <w:sz w:val="24"/>
                <w:szCs w:val="24"/>
                <w:lang w:eastAsia="zh-CN"/>
              </w:rPr>
              <w:t>。</w:t>
            </w:r>
          </w:p>
          <w:p w14:paraId="47918386">
            <w:pPr>
              <w:widowControl/>
              <w:numPr>
                <w:ilvl w:val="0"/>
                <w:numId w:val="0"/>
              </w:numPr>
              <w:ind w:firstLine="482" w:firstLineChars="20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十、学生网上查询</w:t>
            </w:r>
            <w:r>
              <w:rPr>
                <w:rFonts w:hint="eastAsia" w:ascii="宋体" w:hAnsi="宋体" w:cs="宋体"/>
                <w:b/>
                <w:bCs/>
                <w:color w:val="auto"/>
                <w:kern w:val="0"/>
                <w:sz w:val="24"/>
                <w:szCs w:val="24"/>
                <w:lang w:val="en-US" w:eastAsia="zh-CN"/>
              </w:rPr>
              <w:t>及</w:t>
            </w:r>
            <w:r>
              <w:rPr>
                <w:rFonts w:hint="eastAsia" w:ascii="宋体" w:hAnsi="宋体" w:eastAsia="宋体" w:cs="宋体"/>
                <w:b/>
                <w:bCs/>
                <w:color w:val="auto"/>
                <w:kern w:val="0"/>
                <w:sz w:val="24"/>
                <w:szCs w:val="24"/>
                <w:lang w:val="en-US" w:eastAsia="zh-CN"/>
              </w:rPr>
              <w:t>网上缴费</w:t>
            </w:r>
          </w:p>
          <w:p w14:paraId="73EA0174">
            <w:pPr>
              <w:widowControl/>
              <w:numPr>
                <w:ilvl w:val="0"/>
                <w:numId w:val="11"/>
              </w:numPr>
              <w:ind w:left="425" w:leftChars="0" w:hanging="425" w:firstLineChars="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支持</w:t>
            </w:r>
            <w:r>
              <w:rPr>
                <w:rFonts w:hint="eastAsia" w:ascii="宋体" w:hAnsi="宋体" w:eastAsia="宋体" w:cs="宋体"/>
                <w:color w:val="auto"/>
                <w:kern w:val="0"/>
                <w:sz w:val="24"/>
                <w:szCs w:val="24"/>
              </w:rPr>
              <w:t>学生互联网上查询本人各学期缴费项目、历次缴费记录、欠费记录</w:t>
            </w:r>
            <w:r>
              <w:rPr>
                <w:rFonts w:hint="eastAsia" w:ascii="宋体" w:hAnsi="宋体" w:cs="宋体"/>
                <w:color w:val="auto"/>
                <w:kern w:val="0"/>
                <w:sz w:val="24"/>
                <w:szCs w:val="24"/>
                <w:lang w:val="en-US" w:eastAsia="zh-CN"/>
              </w:rPr>
              <w:t>等</w:t>
            </w:r>
            <w:r>
              <w:rPr>
                <w:rFonts w:hint="eastAsia" w:ascii="宋体" w:hAnsi="宋体" w:eastAsia="宋体" w:cs="宋体"/>
                <w:color w:val="auto"/>
                <w:kern w:val="0"/>
                <w:sz w:val="24"/>
                <w:szCs w:val="24"/>
              </w:rPr>
              <w:t>。</w:t>
            </w:r>
          </w:p>
          <w:p w14:paraId="0F6E419E">
            <w:pPr>
              <w:widowControl/>
              <w:numPr>
                <w:ilvl w:val="0"/>
                <w:numId w:val="11"/>
              </w:numPr>
              <w:ind w:left="425" w:leftChars="0" w:hanging="425" w:firstLineChars="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支持</w:t>
            </w:r>
            <w:r>
              <w:rPr>
                <w:rFonts w:hint="eastAsia" w:ascii="宋体" w:hAnsi="宋体" w:eastAsia="宋体" w:cs="宋体"/>
                <w:color w:val="auto"/>
                <w:kern w:val="0"/>
                <w:sz w:val="24"/>
                <w:szCs w:val="24"/>
              </w:rPr>
              <w:t>学生网上修改本人银行卡号，并有卡号验证功能。</w:t>
            </w:r>
          </w:p>
          <w:p w14:paraId="56FACE7D">
            <w:pPr>
              <w:widowControl/>
              <w:numPr>
                <w:ilvl w:val="0"/>
                <w:numId w:val="11"/>
              </w:numPr>
              <w:ind w:left="425" w:leftChars="0" w:hanging="425" w:firstLineChars="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支持</w:t>
            </w:r>
            <w:r>
              <w:rPr>
                <w:rFonts w:hint="eastAsia" w:ascii="宋体" w:hAnsi="宋体" w:eastAsia="宋体" w:cs="宋体"/>
                <w:color w:val="auto"/>
                <w:kern w:val="0"/>
                <w:sz w:val="24"/>
                <w:szCs w:val="24"/>
              </w:rPr>
              <w:t>网上缴纳学</w:t>
            </w:r>
            <w:r>
              <w:rPr>
                <w:rFonts w:hint="eastAsia" w:ascii="宋体" w:hAnsi="宋体" w:cs="宋体"/>
                <w:color w:val="auto"/>
                <w:kern w:val="0"/>
                <w:sz w:val="24"/>
                <w:szCs w:val="24"/>
                <w:lang w:val="en-US" w:eastAsia="zh-CN"/>
              </w:rPr>
              <w:t>宿</w:t>
            </w:r>
            <w:r>
              <w:rPr>
                <w:rFonts w:hint="eastAsia" w:ascii="宋体" w:hAnsi="宋体" w:eastAsia="宋体" w:cs="宋体"/>
                <w:color w:val="auto"/>
                <w:kern w:val="0"/>
                <w:sz w:val="24"/>
                <w:szCs w:val="24"/>
              </w:rPr>
              <w:t>费、</w:t>
            </w:r>
            <w:r>
              <w:rPr>
                <w:rFonts w:hint="eastAsia" w:ascii="宋体" w:hAnsi="宋体" w:cs="宋体"/>
                <w:color w:val="auto"/>
                <w:kern w:val="0"/>
                <w:sz w:val="24"/>
                <w:szCs w:val="24"/>
                <w:lang w:val="en-US" w:eastAsia="zh-CN"/>
              </w:rPr>
              <w:t>重修费、复试费</w:t>
            </w:r>
            <w:r>
              <w:rPr>
                <w:rFonts w:hint="eastAsia" w:ascii="宋体" w:hAnsi="宋体" w:eastAsia="宋体" w:cs="宋体"/>
                <w:color w:val="auto"/>
                <w:kern w:val="0"/>
                <w:sz w:val="24"/>
                <w:szCs w:val="24"/>
              </w:rPr>
              <w:t>等其他缴费。</w:t>
            </w:r>
          </w:p>
          <w:p w14:paraId="7B0F11DD">
            <w:pPr>
              <w:widowControl/>
              <w:numPr>
                <w:ilvl w:val="0"/>
                <w:numId w:val="11"/>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实现任何有银联标识的银行卡网上支付，并支持主流银行卡的大额快捷网上支付（不需开通网银，单笔可支付学费5000到20000元，不同银行的单笔支付限额略有不同）。</w:t>
            </w:r>
          </w:p>
          <w:p w14:paraId="78E79619">
            <w:pPr>
              <w:widowControl/>
              <w:numPr>
                <w:ilvl w:val="0"/>
                <w:numId w:val="11"/>
              </w:numPr>
              <w:ind w:left="425" w:leftChars="0" w:hanging="425"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实现学生端能够从开票系统获取到开具的电子票据图片</w:t>
            </w:r>
            <w:r>
              <w:rPr>
                <w:rFonts w:hint="eastAsia" w:ascii="宋体" w:hAnsi="宋体" w:cs="宋体"/>
                <w:color w:val="auto"/>
                <w:kern w:val="0"/>
                <w:sz w:val="24"/>
                <w:szCs w:val="24"/>
                <w:lang w:val="en-US" w:eastAsia="zh-CN"/>
              </w:rPr>
              <w:t>文件</w:t>
            </w:r>
            <w:r>
              <w:rPr>
                <w:rFonts w:hint="eastAsia" w:ascii="宋体" w:hAnsi="宋体" w:eastAsia="宋体" w:cs="宋体"/>
                <w:color w:val="auto"/>
                <w:kern w:val="0"/>
                <w:sz w:val="24"/>
                <w:szCs w:val="24"/>
              </w:rPr>
              <w:t>。</w:t>
            </w:r>
          </w:p>
          <w:p w14:paraId="2BF73BF8">
            <w:pPr>
              <w:widowControl/>
              <w:numPr>
                <w:ilvl w:val="0"/>
                <w:numId w:val="0"/>
              </w:numPr>
              <w:ind w:firstLine="482" w:firstLineChars="200"/>
              <w:jc w:val="left"/>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十</w:t>
            </w:r>
            <w:r>
              <w:rPr>
                <w:rFonts w:hint="eastAsia" w:ascii="宋体" w:hAnsi="宋体" w:cs="宋体"/>
                <w:b/>
                <w:bCs/>
                <w:color w:val="auto"/>
                <w:kern w:val="0"/>
                <w:sz w:val="24"/>
                <w:szCs w:val="24"/>
                <w:lang w:val="en-US" w:eastAsia="zh-CN"/>
              </w:rPr>
              <w:t>一</w:t>
            </w: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院系及</w:t>
            </w:r>
            <w:r>
              <w:rPr>
                <w:rFonts w:hint="eastAsia" w:ascii="宋体" w:hAnsi="宋体" w:eastAsia="宋体" w:cs="宋体"/>
                <w:b/>
                <w:bCs/>
                <w:color w:val="auto"/>
                <w:kern w:val="0"/>
                <w:sz w:val="24"/>
                <w:szCs w:val="24"/>
                <w:lang w:val="en-US" w:eastAsia="zh-CN"/>
              </w:rPr>
              <w:t>辅导员</w:t>
            </w:r>
            <w:r>
              <w:rPr>
                <w:rFonts w:hint="eastAsia" w:ascii="宋体" w:hAnsi="宋体" w:cs="宋体"/>
                <w:b/>
                <w:bCs/>
                <w:color w:val="auto"/>
                <w:kern w:val="0"/>
                <w:sz w:val="24"/>
                <w:szCs w:val="24"/>
                <w:lang w:val="en-US" w:eastAsia="zh-CN"/>
              </w:rPr>
              <w:t>线上</w:t>
            </w:r>
            <w:r>
              <w:rPr>
                <w:rFonts w:hint="eastAsia" w:ascii="宋体" w:hAnsi="宋体" w:eastAsia="宋体" w:cs="宋体"/>
                <w:b/>
                <w:bCs/>
                <w:color w:val="auto"/>
                <w:kern w:val="0"/>
                <w:sz w:val="24"/>
                <w:szCs w:val="24"/>
                <w:lang w:val="en-US" w:eastAsia="zh-CN"/>
              </w:rPr>
              <w:t>查询</w:t>
            </w:r>
            <w:r>
              <w:rPr>
                <w:rFonts w:hint="eastAsia" w:ascii="宋体" w:hAnsi="宋体" w:cs="宋体"/>
                <w:b/>
                <w:bCs/>
                <w:color w:val="auto"/>
                <w:kern w:val="0"/>
                <w:sz w:val="24"/>
                <w:szCs w:val="24"/>
                <w:lang w:val="en-US" w:eastAsia="zh-CN"/>
              </w:rPr>
              <w:t>功能</w:t>
            </w:r>
          </w:p>
          <w:p w14:paraId="23CDC2D2">
            <w:pPr>
              <w:widowControl/>
              <w:numPr>
                <w:ilvl w:val="0"/>
                <w:numId w:val="12"/>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系统采用B/S架构，无用户数量限制，客户端无需安装软件，可通过校园网及互联网访问使用。</w:t>
            </w:r>
          </w:p>
          <w:p w14:paraId="6BDB1C8D">
            <w:pPr>
              <w:widowControl/>
              <w:numPr>
                <w:ilvl w:val="0"/>
                <w:numId w:val="12"/>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支持按院系维度统计各专业、年级、班级学生欠费情况，并可查询本院系学生的全部收费项目、缴费及欠费明细信息。</w:t>
            </w:r>
          </w:p>
          <w:p w14:paraId="64AD0FDA">
            <w:pPr>
              <w:widowControl/>
              <w:numPr>
                <w:ilvl w:val="0"/>
                <w:numId w:val="12"/>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支持欠费学生名单及学费统计数据的导出下载。</w:t>
            </w:r>
          </w:p>
          <w:p w14:paraId="2BA9109A">
            <w:pPr>
              <w:widowControl/>
              <w:numPr>
                <w:ilvl w:val="0"/>
                <w:numId w:val="12"/>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提供教师移动端H5版本，支持在线查询学生缴费及欠费信息。</w:t>
            </w:r>
          </w:p>
          <w:p w14:paraId="2CEED873">
            <w:pPr>
              <w:widowControl/>
              <w:numPr>
                <w:ilvl w:val="0"/>
                <w:numId w:val="0"/>
              </w:numPr>
              <w:ind w:firstLine="482"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十</w:t>
            </w:r>
            <w:r>
              <w:rPr>
                <w:rFonts w:hint="eastAsia" w:ascii="宋体" w:hAnsi="宋体" w:cs="宋体"/>
                <w:b/>
                <w:bCs/>
                <w:color w:val="auto"/>
                <w:kern w:val="0"/>
                <w:sz w:val="24"/>
                <w:szCs w:val="24"/>
                <w:lang w:val="en-US" w:eastAsia="zh-CN"/>
              </w:rPr>
              <w:t>二</w:t>
            </w:r>
            <w:r>
              <w:rPr>
                <w:rFonts w:hint="eastAsia" w:ascii="宋体" w:hAnsi="宋体" w:eastAsia="宋体" w:cs="宋体"/>
                <w:b/>
                <w:bCs/>
                <w:color w:val="auto"/>
                <w:kern w:val="0"/>
                <w:sz w:val="24"/>
                <w:szCs w:val="24"/>
                <w:lang w:val="en-US" w:eastAsia="zh-CN"/>
              </w:rPr>
              <w:t>、AI助手</w:t>
            </w:r>
          </w:p>
          <w:p w14:paraId="4E1C07F5">
            <w:pPr>
              <w:widowControl/>
              <w:numPr>
                <w:ilvl w:val="0"/>
                <w:numId w:val="13"/>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基于大语言模型的智能化在线服务，支持PC端和移动端，支持自然语言交互、办事服务推荐、政策问答、主动服务提醒等场景。</w:t>
            </w:r>
          </w:p>
          <w:p w14:paraId="272D34B0">
            <w:pPr>
              <w:widowControl/>
              <w:numPr>
                <w:ilvl w:val="0"/>
                <w:numId w:val="13"/>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与学校数据中台、统一身份认证等对接，开放接口并与现有系统（微信公众号、门户网站、融合门户等）免费对接。</w:t>
            </w:r>
          </w:p>
          <w:p w14:paraId="47AC911B">
            <w:pPr>
              <w:widowControl/>
              <w:numPr>
                <w:ilvl w:val="0"/>
                <w:numId w:val="13"/>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原有一站式服务大厅服务升级、学生/教师端功能开发（智能客服、流程跳转、操作指南）。</w:t>
            </w:r>
          </w:p>
          <w:p w14:paraId="14255422">
            <w:pPr>
              <w:widowControl/>
              <w:numPr>
                <w:ilvl w:val="0"/>
                <w:numId w:val="13"/>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RAG知识增强模块开发（非结构化数据处理、检索生成算法优化），基于师生角色权限控制的大模型问数，支持以数据库对接形式接入学校数据中台的数据。 </w:t>
            </w:r>
          </w:p>
          <w:p w14:paraId="0C14DBE4">
            <w:pPr>
              <w:widowControl/>
              <w:numPr>
                <w:ilvl w:val="0"/>
                <w:numId w:val="13"/>
              </w:numPr>
              <w:ind w:left="425" w:leftChars="0" w:hanging="425"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场景化智能体开发（开发5个校园示范性智能体应用，如财务AI助手等）。</w:t>
            </w:r>
          </w:p>
          <w:p w14:paraId="5CE7D196">
            <w:pPr>
              <w:widowControl/>
              <w:numPr>
                <w:ilvl w:val="0"/>
                <w:numId w:val="0"/>
              </w:numPr>
              <w:ind w:firstLine="0" w:firstLineChars="0"/>
              <w:jc w:val="left"/>
              <w:rPr>
                <w:rFonts w:hint="eastAsia" w:ascii="宋体" w:hAnsi="宋体" w:eastAsia="宋体" w:cs="宋体"/>
                <w:color w:val="auto"/>
                <w:kern w:val="0"/>
                <w:sz w:val="24"/>
                <w:szCs w:val="24"/>
                <w:lang w:val="en-US" w:eastAsia="zh-CN"/>
              </w:rPr>
            </w:pPr>
          </w:p>
        </w:tc>
        <w:tc>
          <w:tcPr>
            <w:tcW w:w="525" w:type="pct"/>
            <w:tcBorders>
              <w:top w:val="single" w:color="auto" w:sz="4" w:space="0"/>
              <w:left w:val="single" w:color="auto" w:sz="4" w:space="0"/>
              <w:right w:val="single" w:color="auto" w:sz="4" w:space="0"/>
            </w:tcBorders>
            <w:noWrap w:val="0"/>
            <w:vAlign w:val="center"/>
          </w:tcPr>
          <w:p w14:paraId="349755FA">
            <w:pPr>
              <w:widowControl/>
              <w:numPr>
                <w:ilvl w:val="0"/>
                <w:numId w:val="0"/>
              </w:numPr>
              <w:ind w:firstLine="0" w:firstLine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1套</w:t>
            </w:r>
          </w:p>
        </w:tc>
      </w:tr>
    </w:tbl>
    <w:p w14:paraId="0B144EA3"/>
    <w:p w14:paraId="261EC0C6">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二、商务要求</w:t>
      </w:r>
    </w:p>
    <w:p w14:paraId="3D81F4D9">
      <w:pPr>
        <w:spacing w:before="160" w:line="279"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1.合同签订期：</w:t>
      </w:r>
      <w:r>
        <w:rPr>
          <w:rFonts w:hint="eastAsia" w:ascii="宋体" w:hAnsi="宋体" w:eastAsia="宋体" w:cs="宋体"/>
          <w:color w:val="auto"/>
          <w:sz w:val="24"/>
          <w:highlight w:val="none"/>
        </w:rPr>
        <w:t>自成交通知书发出之后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w:t>
      </w:r>
    </w:p>
    <w:p w14:paraId="727D9544">
      <w:pPr>
        <w:pStyle w:val="4"/>
        <w:ind w:left="0" w:leftChars="0"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2.系统交付时间：</w:t>
      </w:r>
      <w:r>
        <w:rPr>
          <w:rFonts w:hint="eastAsia" w:ascii="宋体" w:hAnsi="宋体" w:eastAsia="宋体" w:cs="宋体"/>
          <w:color w:val="auto"/>
          <w:sz w:val="24"/>
          <w:highlight w:val="none"/>
        </w:rPr>
        <w:t>合同签订之日起</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60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个工作日内完成系统部署、试运行、正式交付，投入使用。</w:t>
      </w:r>
    </w:p>
    <w:p w14:paraId="17A0D061">
      <w:pPr>
        <w:spacing w:before="160" w:line="279" w:lineRule="auto"/>
        <w:ind w:firstLine="482" w:firstLineChars="200"/>
        <w:rPr>
          <w:rFonts w:hint="eastAsia" w:ascii="宋体" w:hAnsi="宋体" w:eastAsia="宋体" w:cs="宋体"/>
          <w:color w:val="auto"/>
          <w:sz w:val="24"/>
          <w:highlight w:val="none"/>
          <w:lang w:bidi="en-US"/>
        </w:rPr>
      </w:pPr>
      <w:r>
        <w:rPr>
          <w:rFonts w:hint="eastAsia" w:ascii="宋体" w:hAnsi="宋体" w:eastAsia="宋体" w:cs="宋体"/>
          <w:b/>
          <w:bCs/>
          <w:color w:val="auto"/>
          <w:sz w:val="24"/>
          <w:highlight w:val="none"/>
        </w:rPr>
        <w:t>3.服务及交货地点：</w:t>
      </w:r>
      <w:r>
        <w:rPr>
          <w:rFonts w:hint="eastAsia" w:ascii="宋体" w:hAnsi="宋体" w:eastAsia="宋体" w:cs="宋体"/>
          <w:color w:val="auto"/>
          <w:sz w:val="24"/>
          <w:highlight w:val="none"/>
          <w:lang w:bidi="en-US"/>
        </w:rPr>
        <w:t>广西南宁，采购人指定地点。</w:t>
      </w:r>
    </w:p>
    <w:p w14:paraId="2BB506D5">
      <w:pPr>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4.报价要求：</w:t>
      </w:r>
      <w:r>
        <w:rPr>
          <w:rFonts w:hint="eastAsia" w:ascii="宋体" w:hAnsi="宋体" w:eastAsia="宋体" w:cs="宋体"/>
          <w:color w:val="auto"/>
          <w:sz w:val="24"/>
          <w:highlight w:val="none"/>
        </w:rPr>
        <w:t>供应商须就本项目采购需求中的所有实施内容作完整报价。总报价包括但不限于完成本项目开发成本、人工成本、管理成本、培训费、售后服务费用、税金、利润、系统安装调试、试运行、系统对接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与原软件供应商协商</w:t>
      </w:r>
      <w:r>
        <w:rPr>
          <w:rFonts w:hint="eastAsia" w:ascii="宋体" w:hAnsi="宋体" w:eastAsia="宋体" w:cs="宋体"/>
          <w:color w:val="auto"/>
          <w:sz w:val="24"/>
          <w:highlight w:val="none"/>
        </w:rPr>
        <w:t>及其他所有可能发生的一切费用。合同实施时，采购人将不予支付成交供应商没有列入的项目费用，并认为此项目的费用已包括在总报价中，采购人在合同履行期间不再支付其他额外的费用。</w:t>
      </w:r>
    </w:p>
    <w:p w14:paraId="6C66D75B">
      <w:pPr>
        <w:spacing w:before="160" w:line="279"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5.验收标准：</w:t>
      </w:r>
      <w:r>
        <w:rPr>
          <w:rFonts w:hint="eastAsia" w:ascii="宋体" w:hAnsi="宋体" w:eastAsia="宋体" w:cs="宋体"/>
          <w:color w:val="auto"/>
          <w:sz w:val="24"/>
          <w:highlight w:val="none"/>
        </w:rPr>
        <w:t>验收标准执行现行的强制执行的国家、行业、地方标准。</w:t>
      </w:r>
    </w:p>
    <w:p w14:paraId="08D2167A">
      <w:pPr>
        <w:pStyle w:val="8"/>
        <w:ind w:firstLine="482" w:firstLineChars="200"/>
        <w:rPr>
          <w:rFonts w:hint="eastAsia" w:ascii="宋体" w:hAnsi="宋体" w:eastAsia="宋体" w:cs="宋体"/>
          <w:b/>
          <w:bCs/>
          <w:color w:val="auto"/>
          <w:sz w:val="24"/>
          <w:szCs w:val="24"/>
          <w:highlight w:val="none"/>
          <w:lang w:bidi="en-US"/>
        </w:rPr>
      </w:pPr>
      <w:r>
        <w:rPr>
          <w:rFonts w:hint="eastAsia" w:ascii="宋体" w:hAnsi="宋体" w:eastAsia="宋体" w:cs="宋体"/>
          <w:b/>
          <w:bCs/>
          <w:color w:val="auto"/>
          <w:sz w:val="24"/>
          <w:szCs w:val="24"/>
          <w:highlight w:val="none"/>
          <w:lang w:bidi="en-US"/>
        </w:rPr>
        <w:t>6.服务要求：</w:t>
      </w:r>
    </w:p>
    <w:p w14:paraId="59531A86">
      <w:pPr>
        <w:pStyle w:val="4"/>
        <w:ind w:left="0" w:leftChars="0"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（1）实施交付</w:t>
      </w:r>
      <w:r>
        <w:rPr>
          <w:rFonts w:hint="eastAsia" w:ascii="宋体" w:hAnsi="宋体" w:eastAsia="宋体" w:cs="宋体"/>
          <w:color w:val="auto"/>
          <w:sz w:val="24"/>
          <w:highlight w:val="none"/>
        </w:rPr>
        <w:t>：成交供应商须承诺在项目交付过程中，安排软件实施人员提供不少于</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日的信息化实施驻场服务；采购人将根据实际驻场时间对成交供应商进行考核，驻场时间不满</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日的项目验收不予通过【供应商在响应文件中须提供承诺函（格式自拟）】。</w:t>
      </w:r>
    </w:p>
    <w:p w14:paraId="320A3C9F">
      <w:pPr>
        <w:pStyle w:val="9"/>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（2）服务人员：</w:t>
      </w:r>
    </w:p>
    <w:p w14:paraId="6AF0F067">
      <w:pPr>
        <w:pStyle w:val="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成交供应商须根据项目实际情况配备相关技术人员团队，团队人员不少于5人，其中项目经理为本科或以上学历。项目经理须提供其与供应商存在缴纳社保关系的有效证明或提供有效期内的用工合同。</w:t>
      </w:r>
    </w:p>
    <w:p w14:paraId="57923DBD">
      <w:pPr>
        <w:pStyle w:val="8"/>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（3）免费运维期：</w:t>
      </w:r>
    </w:p>
    <w:p w14:paraId="3D25CEF6">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年的免费运维服务，自项目验收合格之日起开始计算。</w:t>
      </w:r>
    </w:p>
    <w:p w14:paraId="19B1B4F5">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运维期内成交供应商每季度需开展一次回访并提交回访报告。</w:t>
      </w:r>
    </w:p>
    <w:p w14:paraId="0AA1A28F">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协助完成新生入学时人员信息</w:t>
      </w:r>
      <w:r>
        <w:rPr>
          <w:rFonts w:hint="eastAsia" w:ascii="宋体" w:hAnsi="宋体" w:cs="宋体"/>
          <w:color w:val="auto"/>
          <w:sz w:val="24"/>
          <w:highlight w:val="none"/>
          <w:lang w:val="en-US" w:eastAsia="zh-CN"/>
        </w:rPr>
        <w:t>数据</w:t>
      </w:r>
      <w:r>
        <w:rPr>
          <w:rFonts w:hint="eastAsia" w:ascii="宋体" w:hAnsi="宋体" w:eastAsia="宋体" w:cs="宋体"/>
          <w:color w:val="auto"/>
          <w:sz w:val="24"/>
          <w:highlight w:val="none"/>
        </w:rPr>
        <w:t>的整理审核</w:t>
      </w:r>
      <w:r>
        <w:rPr>
          <w:rFonts w:hint="eastAsia" w:ascii="宋体" w:hAnsi="宋体" w:cs="宋体"/>
          <w:color w:val="auto"/>
          <w:sz w:val="24"/>
          <w:highlight w:val="none"/>
          <w:lang w:val="en-US" w:eastAsia="zh-CN"/>
        </w:rPr>
        <w:t>以及收费导入</w:t>
      </w:r>
      <w:r>
        <w:rPr>
          <w:rFonts w:hint="eastAsia" w:ascii="宋体" w:hAnsi="宋体" w:eastAsia="宋体" w:cs="宋体"/>
          <w:color w:val="auto"/>
          <w:sz w:val="24"/>
          <w:highlight w:val="none"/>
        </w:rPr>
        <w:t>等工作。</w:t>
      </w:r>
    </w:p>
    <w:p w14:paraId="7571CF81">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配合我校进行等保测评工作、攻防演练等各种安全保障工作的开展，完善系统的安全性和可靠性</w:t>
      </w:r>
      <w:r>
        <w:rPr>
          <w:rFonts w:hint="eastAsia" w:ascii="宋体" w:hAnsi="宋体" w:eastAsia="宋体" w:cs="宋体"/>
          <w:color w:val="auto"/>
          <w:sz w:val="24"/>
          <w:highlight w:val="none"/>
          <w:lang w:eastAsia="zh-CN"/>
        </w:rPr>
        <w:t>。</w:t>
      </w:r>
    </w:p>
    <w:p w14:paraId="1F0861FD">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协助受理客户师生反馈的相关问题以及系统突发的各类故障，保证学校智慧校园工作的正常进行。</w:t>
      </w:r>
    </w:p>
    <w:p w14:paraId="22D723F3">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数据备份定期备份重要数据，以防止数据丢失或损坏。</w:t>
      </w:r>
    </w:p>
    <w:p w14:paraId="0C8896F9">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故障排除和故障处理：及时诊断网络故障，采取相应措施修复故障，以减少网络停机时间。</w:t>
      </w:r>
    </w:p>
    <w:p w14:paraId="733F3564">
      <w:pPr>
        <w:pStyle w:val="4"/>
        <w:numPr>
          <w:ilvl w:val="0"/>
          <w:numId w:val="14"/>
        </w:numPr>
        <w:ind w:left="0" w:leftChars="0" w:firstLine="56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用户支持和培训：为用户提供技术支持，解答问题，定期培训学校相关人员，以提升其对网络的使用和管理能力。</w:t>
      </w:r>
    </w:p>
    <w:p w14:paraId="21575CBA">
      <w:pPr>
        <w:pStyle w:val="4"/>
        <w:numPr>
          <w:ilvl w:val="0"/>
          <w:numId w:val="14"/>
        </w:numPr>
        <w:ind w:left="0" w:leftChars="0" w:firstLine="567" w:firstLineChars="0"/>
        <w:rPr>
          <w:color w:val="auto"/>
          <w:highlight w:val="none"/>
        </w:rPr>
      </w:pPr>
      <w:r>
        <w:rPr>
          <w:rFonts w:hint="eastAsia" w:ascii="宋体" w:hAnsi="宋体" w:eastAsia="宋体" w:cs="宋体"/>
          <w:color w:val="auto"/>
          <w:sz w:val="24"/>
          <w:highlight w:val="none"/>
        </w:rPr>
        <w:t>安排专人负责学校，提供24小时电话服务支持</w:t>
      </w:r>
      <w:r>
        <w:rPr>
          <w:rFonts w:hint="eastAsia" w:ascii="宋体" w:hAnsi="宋体" w:eastAsia="宋体" w:cs="宋体"/>
          <w:color w:val="auto"/>
          <w:sz w:val="24"/>
          <w:highlight w:val="none"/>
          <w:lang w:eastAsia="zh-CN"/>
        </w:rPr>
        <w:t>。</w:t>
      </w:r>
    </w:p>
    <w:p w14:paraId="28EC04F3">
      <w:pPr>
        <w:pStyle w:val="4"/>
        <w:ind w:left="0" w:leftChars="0"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（4）响应时间：</w:t>
      </w:r>
      <w:r>
        <w:rPr>
          <w:rFonts w:hint="eastAsia" w:ascii="宋体" w:hAnsi="宋体" w:eastAsia="宋体" w:cs="宋体"/>
          <w:color w:val="auto"/>
          <w:sz w:val="24"/>
          <w:highlight w:val="none"/>
        </w:rPr>
        <w:t>合同期内采购单位如遇到使用或技术问题，成交供应商在采购单位问题提出后1小时内响应，一般问题2小时内解决，复杂问题4小时内解决，通过电话、远程解决不了的，成交供应商需在6小时内上门进行处理。</w:t>
      </w:r>
    </w:p>
    <w:p w14:paraId="5BF90391">
      <w:pPr>
        <w:pStyle w:val="9"/>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7.知识产权：</w:t>
      </w:r>
      <w:r>
        <w:rPr>
          <w:rFonts w:hint="eastAsia" w:ascii="宋体" w:hAnsi="宋体" w:eastAsia="宋体" w:cs="宋体"/>
          <w:color w:val="auto"/>
          <w:sz w:val="24"/>
          <w:szCs w:val="24"/>
          <w:highlight w:val="none"/>
        </w:rPr>
        <w:t>采购人在中华人民共和国境内使用供应商提供的产品服务时免受第三方提出的侵犯其专利权或其它知识产权的起诉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如果第三方提出侵权指控，成交供应商应承担由此而引起的一切法律责任和费用。</w:t>
      </w:r>
    </w:p>
    <w:p w14:paraId="19FEB203">
      <w:pPr>
        <w:pStyle w:val="9"/>
        <w:spacing w:line="360" w:lineRule="auto"/>
        <w:ind w:firstLine="480"/>
        <w:rPr>
          <w:rFonts w:hint="eastAsia" w:cs="宋体" w:asciiTheme="majorEastAsia" w:hAnsiTheme="majorEastAsia" w:eastAsiaTheme="majorEastAsia"/>
          <w:b/>
          <w:bCs/>
          <w:sz w:val="24"/>
          <w:szCs w:val="24"/>
          <w:lang w:eastAsia="zh-CN"/>
        </w:rPr>
      </w:pPr>
      <w:r>
        <w:rPr>
          <w:rFonts w:hint="eastAsia" w:cs="宋体" w:asciiTheme="majorEastAsia" w:hAnsiTheme="majorEastAsia" w:eastAsiaTheme="majorEastAsia"/>
          <w:b/>
          <w:bCs/>
          <w:sz w:val="24"/>
          <w:szCs w:val="24"/>
          <w:lang w:val="en-US" w:eastAsia="zh-CN"/>
        </w:rPr>
        <w:t>8</w:t>
      </w:r>
      <w:r>
        <w:rPr>
          <w:rFonts w:cs="宋体" w:asciiTheme="majorEastAsia" w:hAnsiTheme="majorEastAsia" w:eastAsiaTheme="majorEastAsia"/>
          <w:b/>
          <w:bCs/>
          <w:sz w:val="24"/>
          <w:szCs w:val="24"/>
        </w:rPr>
        <w:t>.</w:t>
      </w:r>
      <w:r>
        <w:rPr>
          <w:rFonts w:hint="eastAsia" w:cs="宋体" w:asciiTheme="majorEastAsia" w:hAnsiTheme="majorEastAsia" w:eastAsiaTheme="majorEastAsia"/>
          <w:b/>
          <w:bCs/>
          <w:sz w:val="24"/>
          <w:szCs w:val="24"/>
        </w:rPr>
        <w:t>其他要求</w:t>
      </w:r>
      <w:r>
        <w:rPr>
          <w:rFonts w:hint="eastAsia" w:cs="宋体" w:asciiTheme="majorEastAsia" w:hAnsiTheme="majorEastAsia" w:eastAsiaTheme="majorEastAsia"/>
          <w:b/>
          <w:bCs/>
          <w:sz w:val="24"/>
          <w:szCs w:val="24"/>
          <w:lang w:eastAsia="zh-CN"/>
        </w:rPr>
        <w:t>：</w:t>
      </w:r>
    </w:p>
    <w:p w14:paraId="3D51B137">
      <w:pPr>
        <w:pStyle w:val="9"/>
        <w:spacing w:line="360" w:lineRule="auto"/>
        <w:ind w:firstLine="480"/>
        <w:rPr>
          <w:rFonts w:hint="eastAsia" w:cs="宋体" w:asciiTheme="majorEastAsia" w:hAnsiTheme="majorEastAsia" w:eastAsiaTheme="majorEastAsia"/>
          <w:sz w:val="24"/>
          <w:szCs w:val="24"/>
        </w:rPr>
      </w:pPr>
      <w:r>
        <w:rPr>
          <w:rFonts w:hint="eastAsia" w:cs="宋体" w:asciiTheme="majorEastAsia" w:hAnsiTheme="majorEastAsia" w:eastAsiaTheme="majorEastAsia"/>
          <w:b/>
          <w:bCs/>
          <w:sz w:val="24"/>
          <w:szCs w:val="24"/>
          <w:lang w:eastAsia="zh-CN"/>
        </w:rPr>
        <w:t>（</w:t>
      </w:r>
      <w:r>
        <w:rPr>
          <w:rFonts w:hint="eastAsia" w:cs="宋体" w:asciiTheme="majorEastAsia" w:hAnsiTheme="majorEastAsia" w:eastAsiaTheme="majorEastAsia"/>
          <w:b/>
          <w:bCs/>
          <w:sz w:val="24"/>
          <w:szCs w:val="24"/>
          <w:lang w:val="en-US" w:eastAsia="zh-CN"/>
        </w:rPr>
        <w:t>1</w:t>
      </w:r>
      <w:r>
        <w:rPr>
          <w:rFonts w:hint="eastAsia" w:cs="宋体" w:asciiTheme="majorEastAsia" w:hAnsiTheme="majorEastAsia" w:eastAsiaTheme="majorEastAsia"/>
          <w:b/>
          <w:bCs/>
          <w:sz w:val="24"/>
          <w:szCs w:val="24"/>
          <w:lang w:eastAsia="zh-CN"/>
        </w:rPr>
        <w:t>）</w:t>
      </w:r>
      <w:r>
        <w:rPr>
          <w:rFonts w:hint="eastAsia" w:cs="宋体" w:asciiTheme="majorEastAsia" w:hAnsiTheme="majorEastAsia" w:eastAsiaTheme="majorEastAsia"/>
          <w:sz w:val="24"/>
          <w:szCs w:val="24"/>
        </w:rPr>
        <w:t>用户需求书中，带▲为重要技术参数，投标人应尽量满足，否则将在技术评分环节进行扣分。</w:t>
      </w:r>
    </w:p>
    <w:p w14:paraId="558AB4FB">
      <w:pPr>
        <w:pStyle w:val="9"/>
        <w:spacing w:line="360" w:lineRule="auto"/>
        <w:ind w:firstLine="480"/>
        <w:rPr>
          <w:rFonts w:cs="宋体" w:asciiTheme="majorEastAsia" w:hAnsiTheme="majorEastAsia" w:eastAsiaTheme="majorEastAsia"/>
          <w:sz w:val="24"/>
          <w:szCs w:val="24"/>
        </w:rPr>
      </w:pPr>
      <w:r>
        <w:rPr>
          <w:rFonts w:hint="eastAsia" w:cs="宋体" w:asciiTheme="majorEastAsia" w:hAnsiTheme="majorEastAsia" w:eastAsiaTheme="majorEastAsia"/>
          <w:b/>
          <w:bCs/>
          <w:sz w:val="24"/>
          <w:szCs w:val="24"/>
          <w:lang w:eastAsia="zh-CN"/>
        </w:rPr>
        <w:t>（</w:t>
      </w:r>
      <w:r>
        <w:rPr>
          <w:rFonts w:hint="eastAsia" w:cs="宋体" w:asciiTheme="majorEastAsia" w:hAnsiTheme="majorEastAsia" w:eastAsiaTheme="majorEastAsia"/>
          <w:b/>
          <w:bCs/>
          <w:sz w:val="24"/>
          <w:szCs w:val="24"/>
          <w:lang w:val="en-US" w:eastAsia="zh-CN"/>
        </w:rPr>
        <w:t>2</w:t>
      </w:r>
      <w:r>
        <w:rPr>
          <w:rFonts w:hint="eastAsia" w:cs="宋体" w:asciiTheme="majorEastAsia" w:hAnsiTheme="majorEastAsia" w:eastAsiaTheme="majorEastAsia"/>
          <w:b/>
          <w:bCs/>
          <w:sz w:val="24"/>
          <w:szCs w:val="24"/>
          <w:lang w:eastAsia="zh-CN"/>
        </w:rPr>
        <w:t>）</w:t>
      </w:r>
      <w:r>
        <w:rPr>
          <w:rFonts w:hint="eastAsia" w:cs="宋体" w:asciiTheme="majorEastAsia" w:hAnsiTheme="majorEastAsia" w:eastAsiaTheme="majorEastAsia"/>
          <w:sz w:val="24"/>
          <w:szCs w:val="24"/>
        </w:rPr>
        <w:t>投标人须承诺所提供的系统/产品/服务符合《信息安全技术网络安全等级保护基本要求》（GB/T 22239-2019）中第二级（S2A2G2）的安全要求，并在项目验收前通过具备资质的第三方机构出具的等保二级测评报告（提供等级保护测评报告的相关费用包含在报价内）。</w:t>
      </w:r>
    </w:p>
    <w:p w14:paraId="5188FBC9">
      <w:pPr>
        <w:spacing w:line="520" w:lineRule="exact"/>
        <w:rPr>
          <w:rFonts w:hint="eastAsia" w:ascii="宋体" w:hAnsi="宋体" w:eastAsia="宋体" w:cs="宋体"/>
          <w:color w:val="auto"/>
          <w:kern w:val="0"/>
          <w:sz w:val="24"/>
          <w:highlight w:val="none"/>
          <w:shd w:val="clear" w:color="auto" w:fill="FFFFFF"/>
          <w:lang w:bidi="ar"/>
        </w:rPr>
        <w:sectPr>
          <w:pgSz w:w="11906" w:h="16838"/>
          <w:pgMar w:top="1440" w:right="1800" w:bottom="1440" w:left="1800" w:header="851" w:footer="992" w:gutter="0"/>
          <w:cols w:space="425" w:num="1"/>
          <w:docGrid w:type="lines" w:linePitch="312" w:charSpace="0"/>
        </w:sectPr>
      </w:pPr>
    </w:p>
    <w:p w14:paraId="69FA0AE9">
      <w:pPr>
        <w:spacing w:line="520" w:lineRule="exact"/>
        <w:rPr>
          <w:rFonts w:hint="eastAsia" w:ascii="宋体" w:hAnsi="宋体" w:eastAsia="宋体" w:cs="宋体"/>
          <w:b/>
          <w:bCs/>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附件2：报价表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72"/>
        <w:gridCol w:w="2638"/>
        <w:gridCol w:w="836"/>
        <w:gridCol w:w="1421"/>
        <w:gridCol w:w="1421"/>
      </w:tblGrid>
      <w:tr w14:paraId="225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34" w:type="dxa"/>
            <w:vAlign w:val="center"/>
          </w:tcPr>
          <w:p w14:paraId="23905BDB">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序号</w:t>
            </w:r>
          </w:p>
        </w:tc>
        <w:tc>
          <w:tcPr>
            <w:tcW w:w="1472" w:type="dxa"/>
            <w:vAlign w:val="center"/>
          </w:tcPr>
          <w:p w14:paraId="439232D7">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项目名称</w:t>
            </w:r>
          </w:p>
        </w:tc>
        <w:tc>
          <w:tcPr>
            <w:tcW w:w="2638" w:type="dxa"/>
            <w:vAlign w:val="center"/>
          </w:tcPr>
          <w:p w14:paraId="29A45BFF">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功能参数</w:t>
            </w:r>
          </w:p>
        </w:tc>
        <w:tc>
          <w:tcPr>
            <w:tcW w:w="836" w:type="dxa"/>
            <w:vAlign w:val="center"/>
          </w:tcPr>
          <w:p w14:paraId="08D82262">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数量</w:t>
            </w:r>
          </w:p>
        </w:tc>
        <w:tc>
          <w:tcPr>
            <w:tcW w:w="1421" w:type="dxa"/>
            <w:vAlign w:val="center"/>
          </w:tcPr>
          <w:p w14:paraId="1500E32E">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单价（万元）</w:t>
            </w:r>
          </w:p>
        </w:tc>
        <w:tc>
          <w:tcPr>
            <w:tcW w:w="1421" w:type="dxa"/>
            <w:vAlign w:val="center"/>
          </w:tcPr>
          <w:p w14:paraId="0C7F0C1A">
            <w:pPr>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rPr>
              <w:t>总价（万元）</w:t>
            </w:r>
          </w:p>
        </w:tc>
      </w:tr>
      <w:tr w14:paraId="4729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43B4E34D">
            <w:pPr>
              <w:spacing w:line="520" w:lineRule="exact"/>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w:t>
            </w:r>
          </w:p>
        </w:tc>
        <w:tc>
          <w:tcPr>
            <w:tcW w:w="1472" w:type="dxa"/>
            <w:vAlign w:val="center"/>
          </w:tcPr>
          <w:p w14:paraId="6AC1CA8E">
            <w:pPr>
              <w:spacing w:line="520" w:lineRule="exact"/>
              <w:jc w:val="center"/>
              <w:rPr>
                <w:rFonts w:hint="eastAsia" w:ascii="宋体" w:hAnsi="宋体" w:eastAsia="宋体" w:cs="宋体"/>
                <w:color w:val="auto"/>
                <w:kern w:val="0"/>
                <w:sz w:val="24"/>
                <w:highlight w:val="none"/>
                <w:shd w:val="clear" w:color="auto" w:fill="FFFFFF"/>
                <w:lang w:eastAsia="zh-CN" w:bidi="ar"/>
              </w:rPr>
            </w:pPr>
          </w:p>
          <w:p w14:paraId="5567B4BC">
            <w:pPr>
              <w:pStyle w:val="2"/>
              <w:rPr>
                <w:rFonts w:hint="eastAsia"/>
                <w:lang w:eastAsia="zh-CN"/>
              </w:rPr>
            </w:pPr>
          </w:p>
        </w:tc>
        <w:tc>
          <w:tcPr>
            <w:tcW w:w="2638" w:type="dxa"/>
            <w:vAlign w:val="center"/>
          </w:tcPr>
          <w:p w14:paraId="123D461A">
            <w:pPr>
              <w:spacing w:line="520" w:lineRule="exact"/>
              <w:jc w:val="center"/>
              <w:rPr>
                <w:rFonts w:hint="eastAsia" w:ascii="宋体" w:hAnsi="宋体" w:eastAsia="宋体" w:cs="宋体"/>
                <w:color w:val="auto"/>
                <w:kern w:val="0"/>
                <w:sz w:val="24"/>
                <w:highlight w:val="none"/>
                <w:shd w:val="clear" w:color="auto" w:fill="FFFFFF"/>
                <w:lang w:bidi="ar"/>
              </w:rPr>
            </w:pPr>
          </w:p>
        </w:tc>
        <w:tc>
          <w:tcPr>
            <w:tcW w:w="836" w:type="dxa"/>
            <w:vAlign w:val="center"/>
          </w:tcPr>
          <w:p w14:paraId="017AA264">
            <w:pPr>
              <w:spacing w:line="520" w:lineRule="exact"/>
              <w:jc w:val="center"/>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1套</w:t>
            </w:r>
          </w:p>
        </w:tc>
        <w:tc>
          <w:tcPr>
            <w:tcW w:w="1421" w:type="dxa"/>
            <w:vAlign w:val="center"/>
          </w:tcPr>
          <w:p w14:paraId="7CD62F93">
            <w:pPr>
              <w:spacing w:line="520" w:lineRule="exact"/>
              <w:jc w:val="center"/>
              <w:rPr>
                <w:rFonts w:hint="eastAsia" w:ascii="宋体" w:hAnsi="宋体" w:eastAsia="宋体" w:cs="宋体"/>
                <w:color w:val="auto"/>
                <w:kern w:val="0"/>
                <w:sz w:val="24"/>
                <w:highlight w:val="none"/>
                <w:shd w:val="clear" w:color="auto" w:fill="FFFFFF"/>
                <w:lang w:bidi="ar"/>
              </w:rPr>
            </w:pPr>
          </w:p>
        </w:tc>
        <w:tc>
          <w:tcPr>
            <w:tcW w:w="1421" w:type="dxa"/>
            <w:vAlign w:val="center"/>
          </w:tcPr>
          <w:p w14:paraId="382DD67C">
            <w:pPr>
              <w:spacing w:line="520" w:lineRule="exact"/>
              <w:jc w:val="center"/>
              <w:rPr>
                <w:rFonts w:hint="eastAsia" w:ascii="宋体" w:hAnsi="宋体" w:eastAsia="宋体" w:cs="宋体"/>
                <w:color w:val="auto"/>
                <w:kern w:val="0"/>
                <w:sz w:val="24"/>
                <w:highlight w:val="none"/>
                <w:shd w:val="clear" w:color="auto" w:fill="FFFFFF"/>
                <w:lang w:bidi="ar"/>
              </w:rPr>
            </w:pPr>
          </w:p>
        </w:tc>
      </w:tr>
      <w:tr w14:paraId="7507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335F7DA2">
            <w:pPr>
              <w:spacing w:line="520" w:lineRule="exact"/>
              <w:jc w:val="lef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合计总价：大写：                       小写（￥           ）</w:t>
            </w:r>
          </w:p>
        </w:tc>
      </w:tr>
    </w:tbl>
    <w:p w14:paraId="6E909480">
      <w:pPr>
        <w:spacing w:line="520" w:lineRule="exact"/>
        <w:rPr>
          <w:rFonts w:hint="eastAsia" w:ascii="宋体" w:hAnsi="宋体" w:eastAsia="宋体" w:cs="宋体"/>
          <w:color w:val="auto"/>
          <w:kern w:val="0"/>
          <w:sz w:val="24"/>
          <w:highlight w:val="none"/>
          <w:shd w:val="clear" w:color="auto" w:fill="FFFFFF"/>
          <w:lang w:bidi="ar"/>
        </w:rPr>
      </w:pPr>
    </w:p>
    <w:p w14:paraId="5C9D9CD9">
      <w:pPr>
        <w:spacing w:line="520" w:lineRule="exact"/>
        <w:rPr>
          <w:rFonts w:hint="eastAsia" w:ascii="宋体" w:hAnsi="宋体" w:eastAsia="宋体" w:cs="宋体"/>
          <w:color w:val="auto"/>
          <w:kern w:val="0"/>
          <w:sz w:val="24"/>
          <w:highlight w:val="none"/>
          <w:shd w:val="clear" w:color="auto" w:fill="FFFFFF"/>
          <w:lang w:bidi="ar"/>
        </w:rPr>
      </w:pPr>
    </w:p>
    <w:p w14:paraId="3C90C8E0">
      <w:pPr>
        <w:spacing w:line="520" w:lineRule="exact"/>
        <w:rPr>
          <w:rFonts w:hint="eastAsia" w:ascii="宋体" w:hAnsi="宋体" w:eastAsia="宋体" w:cs="宋体"/>
          <w:color w:val="auto"/>
          <w:kern w:val="0"/>
          <w:sz w:val="24"/>
          <w:highlight w:val="none"/>
          <w:shd w:val="clear" w:color="auto" w:fill="FFFFFF"/>
          <w:lang w:bidi="ar"/>
        </w:rPr>
      </w:pPr>
    </w:p>
    <w:p w14:paraId="2D85EF93">
      <w:pPr>
        <w:pStyle w:val="1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36BC6FC2">
      <w:pPr>
        <w:pStyle w:val="1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35AB7758">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47B369D5">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78B51FB4">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1891AEDA">
      <w:pPr>
        <w:spacing w:line="520" w:lineRule="exac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 xml:space="preserve">  </w:t>
      </w:r>
    </w:p>
    <w:p w14:paraId="65FE90F0">
      <w:pPr>
        <w:spacing w:line="520" w:lineRule="exact"/>
        <w:rPr>
          <w:rFonts w:hint="eastAsia" w:ascii="宋体" w:hAnsi="宋体" w:eastAsia="宋体" w:cs="宋体"/>
          <w:color w:val="auto"/>
          <w:kern w:val="0"/>
          <w:sz w:val="24"/>
          <w:highlight w:val="none"/>
          <w:shd w:val="clear" w:color="auto" w:fill="FFFFFF"/>
          <w:lang w:bidi="ar"/>
        </w:rPr>
      </w:pPr>
    </w:p>
    <w:p w14:paraId="34C597E9">
      <w:pPr>
        <w:spacing w:line="520" w:lineRule="exact"/>
        <w:rPr>
          <w:rFonts w:hint="eastAsia" w:ascii="宋体" w:hAnsi="宋体" w:eastAsia="宋体" w:cs="宋体"/>
          <w:b/>
          <w:bCs/>
          <w:color w:val="auto"/>
          <w:kern w:val="0"/>
          <w:sz w:val="24"/>
          <w:highlight w:val="none"/>
          <w:shd w:val="clear" w:color="auto" w:fill="FFFFFF"/>
          <w:lang w:bidi="ar"/>
        </w:rPr>
        <w:sectPr>
          <w:pgSz w:w="11906" w:h="16838"/>
          <w:pgMar w:top="1440" w:right="1800" w:bottom="1440" w:left="1800" w:header="851" w:footer="992" w:gutter="0"/>
          <w:cols w:space="425" w:num="1"/>
          <w:docGrid w:type="lines" w:linePitch="312" w:charSpace="0"/>
        </w:sectPr>
      </w:pPr>
    </w:p>
    <w:p w14:paraId="07EF3F55">
      <w:pPr>
        <w:spacing w:line="520" w:lineRule="exact"/>
        <w:rPr>
          <w:rFonts w:hint="eastAsia" w:ascii="宋体" w:hAnsi="宋体" w:eastAsia="宋体" w:cs="宋体"/>
          <w:b/>
          <w:bCs/>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附件3：功能参数偏离表</w:t>
      </w:r>
    </w:p>
    <w:tbl>
      <w:tblPr>
        <w:tblStyle w:val="5"/>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8"/>
        <w:gridCol w:w="1564"/>
        <w:gridCol w:w="2397"/>
        <w:gridCol w:w="1936"/>
        <w:gridCol w:w="1148"/>
      </w:tblGrid>
      <w:tr w14:paraId="076C9C1C">
        <w:tblPrEx>
          <w:tblCellMar>
            <w:top w:w="0" w:type="dxa"/>
            <w:left w:w="108" w:type="dxa"/>
            <w:bottom w:w="0" w:type="dxa"/>
            <w:right w:w="108" w:type="dxa"/>
          </w:tblCellMar>
        </w:tblPrEx>
        <w:trPr>
          <w:trHeight w:val="658"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5691A472">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984" w:type="pct"/>
            <w:tcBorders>
              <w:top w:val="single" w:color="auto" w:sz="4" w:space="0"/>
              <w:left w:val="single" w:color="auto" w:sz="4" w:space="0"/>
              <w:bottom w:val="single" w:color="auto" w:sz="4" w:space="0"/>
              <w:right w:val="single" w:color="auto" w:sz="4" w:space="0"/>
            </w:tcBorders>
            <w:vAlign w:val="center"/>
          </w:tcPr>
          <w:p w14:paraId="0084C6E7">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508" w:type="pct"/>
            <w:tcBorders>
              <w:top w:val="single" w:color="auto" w:sz="4" w:space="0"/>
              <w:left w:val="single" w:color="auto" w:sz="4" w:space="0"/>
              <w:bottom w:val="single" w:color="auto" w:sz="4" w:space="0"/>
              <w:right w:val="single" w:color="auto" w:sz="4" w:space="0"/>
            </w:tcBorders>
            <w:vAlign w:val="center"/>
          </w:tcPr>
          <w:p w14:paraId="064D8EF9">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w:t>
            </w:r>
          </w:p>
        </w:tc>
        <w:tc>
          <w:tcPr>
            <w:tcW w:w="1218" w:type="pct"/>
            <w:tcBorders>
              <w:top w:val="single" w:color="auto" w:sz="4" w:space="0"/>
              <w:left w:val="single" w:color="auto" w:sz="4" w:space="0"/>
              <w:bottom w:val="single" w:color="auto" w:sz="4" w:space="0"/>
              <w:right w:val="single" w:color="auto" w:sz="4" w:space="0"/>
            </w:tcBorders>
            <w:vAlign w:val="center"/>
          </w:tcPr>
          <w:p w14:paraId="5694DE1E">
            <w:pPr>
              <w:widowControl/>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实际响应情况</w:t>
            </w:r>
          </w:p>
        </w:tc>
        <w:tc>
          <w:tcPr>
            <w:tcW w:w="722" w:type="pct"/>
            <w:tcBorders>
              <w:top w:val="single" w:color="auto" w:sz="4" w:space="0"/>
              <w:left w:val="single" w:color="auto" w:sz="4" w:space="0"/>
              <w:bottom w:val="single" w:color="auto" w:sz="4" w:space="0"/>
              <w:right w:val="single" w:color="auto" w:sz="4" w:space="0"/>
            </w:tcBorders>
            <w:vAlign w:val="center"/>
          </w:tcPr>
          <w:p w14:paraId="4B030E09">
            <w:pPr>
              <w:widowControl/>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7591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3F2EA6D8">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4" w:type="pct"/>
            <w:tcBorders>
              <w:top w:val="single" w:color="auto" w:sz="4" w:space="0"/>
              <w:left w:val="single" w:color="auto" w:sz="4" w:space="0"/>
              <w:bottom w:val="single" w:color="auto" w:sz="4" w:space="0"/>
              <w:right w:val="single" w:color="auto" w:sz="4" w:space="0"/>
            </w:tcBorders>
            <w:vAlign w:val="center"/>
          </w:tcPr>
          <w:p w14:paraId="2750D8BA">
            <w:pPr>
              <w:adjustRightInd w:val="0"/>
              <w:snapToGrid w:val="0"/>
              <w:spacing w:line="340" w:lineRule="exact"/>
              <w:jc w:val="center"/>
              <w:rPr>
                <w:rFonts w:hint="eastAsia" w:ascii="宋体" w:hAnsi="宋体" w:eastAsia="宋体" w:cs="宋体"/>
                <w:color w:val="auto"/>
                <w:szCs w:val="21"/>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14:paraId="0551DF00">
            <w:pPr>
              <w:adjustRightInd w:val="0"/>
              <w:snapToGrid w:val="0"/>
              <w:spacing w:line="340" w:lineRule="exact"/>
              <w:jc w:val="center"/>
              <w:rPr>
                <w:rFonts w:hint="eastAsia" w:ascii="宋体" w:hAnsi="宋体" w:eastAsia="宋体" w:cs="宋体"/>
                <w:color w:val="auto"/>
                <w:szCs w:val="21"/>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14:paraId="63BCC7F1">
            <w:pPr>
              <w:widowControl/>
              <w:adjustRightInd w:val="0"/>
              <w:snapToGrid w:val="0"/>
              <w:spacing w:line="340" w:lineRule="exact"/>
              <w:jc w:val="center"/>
              <w:rPr>
                <w:rFonts w:hint="eastAsia" w:ascii="宋体" w:hAnsi="宋体" w:eastAsia="宋体" w:cs="宋体"/>
                <w:color w:val="auto"/>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6FE2B3F1">
            <w:pPr>
              <w:widowControl/>
              <w:adjustRightInd w:val="0"/>
              <w:snapToGrid w:val="0"/>
              <w:spacing w:line="340" w:lineRule="exact"/>
              <w:jc w:val="center"/>
              <w:rPr>
                <w:rFonts w:hint="eastAsia" w:ascii="宋体" w:hAnsi="宋体" w:eastAsia="宋体" w:cs="宋体"/>
                <w:color w:val="auto"/>
                <w:szCs w:val="21"/>
                <w:highlight w:val="none"/>
              </w:rPr>
            </w:pPr>
          </w:p>
        </w:tc>
      </w:tr>
      <w:tr w14:paraId="42C44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7ABC1C86">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84" w:type="pct"/>
            <w:tcBorders>
              <w:top w:val="single" w:color="auto" w:sz="4" w:space="0"/>
              <w:left w:val="single" w:color="auto" w:sz="4" w:space="0"/>
              <w:bottom w:val="single" w:color="auto" w:sz="4" w:space="0"/>
              <w:right w:val="single" w:color="auto" w:sz="4" w:space="0"/>
            </w:tcBorders>
            <w:vAlign w:val="center"/>
          </w:tcPr>
          <w:p w14:paraId="298AFB64">
            <w:pPr>
              <w:adjustRightInd w:val="0"/>
              <w:snapToGrid w:val="0"/>
              <w:spacing w:line="340" w:lineRule="exact"/>
              <w:jc w:val="center"/>
              <w:rPr>
                <w:rFonts w:hint="eastAsia" w:ascii="宋体" w:hAnsi="宋体" w:eastAsia="宋体" w:cs="宋体"/>
                <w:color w:val="auto"/>
                <w:szCs w:val="21"/>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14:paraId="3D8DF1F2">
            <w:pPr>
              <w:adjustRightInd w:val="0"/>
              <w:snapToGrid w:val="0"/>
              <w:spacing w:line="340" w:lineRule="exact"/>
              <w:jc w:val="center"/>
              <w:rPr>
                <w:rFonts w:hint="eastAsia" w:ascii="宋体" w:hAnsi="宋体" w:eastAsia="宋体" w:cs="宋体"/>
                <w:color w:val="auto"/>
                <w:szCs w:val="21"/>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14:paraId="7EDE59D5">
            <w:pPr>
              <w:widowControl/>
              <w:adjustRightInd w:val="0"/>
              <w:snapToGrid w:val="0"/>
              <w:spacing w:line="340" w:lineRule="exact"/>
              <w:jc w:val="center"/>
              <w:rPr>
                <w:rFonts w:hint="eastAsia" w:ascii="宋体" w:hAnsi="宋体" w:eastAsia="宋体" w:cs="宋体"/>
                <w:color w:val="auto"/>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4FD80B07">
            <w:pPr>
              <w:widowControl/>
              <w:adjustRightInd w:val="0"/>
              <w:snapToGrid w:val="0"/>
              <w:spacing w:line="340" w:lineRule="exact"/>
              <w:jc w:val="center"/>
              <w:rPr>
                <w:rFonts w:hint="eastAsia" w:ascii="宋体" w:hAnsi="宋体" w:eastAsia="宋体" w:cs="宋体"/>
                <w:color w:val="auto"/>
                <w:szCs w:val="21"/>
                <w:highlight w:val="none"/>
              </w:rPr>
            </w:pPr>
          </w:p>
        </w:tc>
      </w:tr>
      <w:tr w14:paraId="0BE20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252FE97A">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84" w:type="pct"/>
            <w:tcBorders>
              <w:top w:val="single" w:color="auto" w:sz="4" w:space="0"/>
              <w:left w:val="single" w:color="auto" w:sz="4" w:space="0"/>
              <w:bottom w:val="single" w:color="auto" w:sz="4" w:space="0"/>
              <w:right w:val="single" w:color="auto" w:sz="4" w:space="0"/>
            </w:tcBorders>
            <w:vAlign w:val="center"/>
          </w:tcPr>
          <w:p w14:paraId="47318CA7">
            <w:pPr>
              <w:adjustRightInd w:val="0"/>
              <w:snapToGrid w:val="0"/>
              <w:spacing w:line="340" w:lineRule="exact"/>
              <w:jc w:val="center"/>
              <w:rPr>
                <w:rFonts w:hint="eastAsia" w:ascii="宋体" w:hAnsi="宋体" w:eastAsia="宋体" w:cs="宋体"/>
                <w:color w:val="auto"/>
                <w:szCs w:val="21"/>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14:paraId="343823DF">
            <w:pPr>
              <w:adjustRightInd w:val="0"/>
              <w:snapToGrid w:val="0"/>
              <w:spacing w:line="340" w:lineRule="exact"/>
              <w:jc w:val="center"/>
              <w:rPr>
                <w:rFonts w:hint="eastAsia" w:ascii="宋体" w:hAnsi="宋体" w:eastAsia="宋体" w:cs="宋体"/>
                <w:color w:val="auto"/>
                <w:szCs w:val="21"/>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14:paraId="35D1180F">
            <w:pPr>
              <w:widowControl/>
              <w:adjustRightInd w:val="0"/>
              <w:snapToGrid w:val="0"/>
              <w:spacing w:line="340" w:lineRule="exact"/>
              <w:jc w:val="center"/>
              <w:rPr>
                <w:rFonts w:hint="eastAsia" w:ascii="宋体" w:hAnsi="宋体" w:eastAsia="宋体" w:cs="宋体"/>
                <w:color w:val="auto"/>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1D17F8BF">
            <w:pPr>
              <w:widowControl/>
              <w:adjustRightInd w:val="0"/>
              <w:snapToGrid w:val="0"/>
              <w:spacing w:line="340" w:lineRule="exact"/>
              <w:jc w:val="center"/>
              <w:rPr>
                <w:rFonts w:hint="eastAsia" w:ascii="宋体" w:hAnsi="宋体" w:eastAsia="宋体" w:cs="宋体"/>
                <w:color w:val="auto"/>
                <w:szCs w:val="21"/>
                <w:highlight w:val="none"/>
              </w:rPr>
            </w:pPr>
          </w:p>
        </w:tc>
      </w:tr>
      <w:tr w14:paraId="2D021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65" w:type="pct"/>
            <w:tcBorders>
              <w:top w:val="single" w:color="auto" w:sz="4" w:space="0"/>
              <w:left w:val="single" w:color="auto" w:sz="4" w:space="0"/>
              <w:bottom w:val="single" w:color="auto" w:sz="4" w:space="0"/>
              <w:right w:val="single" w:color="auto" w:sz="4" w:space="0"/>
            </w:tcBorders>
            <w:vAlign w:val="center"/>
          </w:tcPr>
          <w:p w14:paraId="3DF9F193">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84" w:type="pct"/>
            <w:tcBorders>
              <w:top w:val="single" w:color="auto" w:sz="4" w:space="0"/>
              <w:left w:val="single" w:color="auto" w:sz="4" w:space="0"/>
              <w:bottom w:val="single" w:color="auto" w:sz="4" w:space="0"/>
              <w:right w:val="single" w:color="auto" w:sz="4" w:space="0"/>
            </w:tcBorders>
            <w:vAlign w:val="center"/>
          </w:tcPr>
          <w:p w14:paraId="238AB46A">
            <w:pPr>
              <w:adjustRightInd w:val="0"/>
              <w:snapToGrid w:val="0"/>
              <w:spacing w:line="340" w:lineRule="exact"/>
              <w:jc w:val="center"/>
              <w:rPr>
                <w:rFonts w:hint="eastAsia" w:ascii="宋体" w:hAnsi="宋体" w:eastAsia="宋体" w:cs="宋体"/>
                <w:color w:val="auto"/>
                <w:szCs w:val="21"/>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14:paraId="693EFC25">
            <w:pPr>
              <w:adjustRightInd w:val="0"/>
              <w:snapToGrid w:val="0"/>
              <w:spacing w:line="340" w:lineRule="exact"/>
              <w:jc w:val="center"/>
              <w:rPr>
                <w:rFonts w:hint="eastAsia" w:ascii="宋体" w:hAnsi="宋体" w:eastAsia="宋体" w:cs="宋体"/>
                <w:color w:val="auto"/>
                <w:szCs w:val="21"/>
                <w:highlight w:val="none"/>
              </w:rPr>
            </w:pPr>
          </w:p>
        </w:tc>
        <w:tc>
          <w:tcPr>
            <w:tcW w:w="1218" w:type="pct"/>
            <w:tcBorders>
              <w:top w:val="single" w:color="auto" w:sz="4" w:space="0"/>
              <w:left w:val="single" w:color="auto" w:sz="4" w:space="0"/>
              <w:bottom w:val="single" w:color="auto" w:sz="4" w:space="0"/>
              <w:right w:val="single" w:color="auto" w:sz="4" w:space="0"/>
            </w:tcBorders>
            <w:vAlign w:val="center"/>
          </w:tcPr>
          <w:p w14:paraId="46002D38">
            <w:pPr>
              <w:widowControl/>
              <w:adjustRightInd w:val="0"/>
              <w:snapToGrid w:val="0"/>
              <w:spacing w:line="340" w:lineRule="exact"/>
              <w:jc w:val="center"/>
              <w:rPr>
                <w:rFonts w:hint="eastAsia" w:ascii="宋体" w:hAnsi="宋体" w:eastAsia="宋体" w:cs="宋体"/>
                <w:color w:val="auto"/>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519DB162">
            <w:pPr>
              <w:widowControl/>
              <w:adjustRightInd w:val="0"/>
              <w:snapToGrid w:val="0"/>
              <w:spacing w:line="340" w:lineRule="exact"/>
              <w:jc w:val="center"/>
              <w:rPr>
                <w:rFonts w:hint="eastAsia" w:ascii="宋体" w:hAnsi="宋体" w:eastAsia="宋体" w:cs="宋体"/>
                <w:color w:val="auto"/>
                <w:szCs w:val="21"/>
                <w:highlight w:val="none"/>
              </w:rPr>
            </w:pPr>
          </w:p>
        </w:tc>
      </w:tr>
    </w:tbl>
    <w:p w14:paraId="12825EE5">
      <w:pPr>
        <w:spacing w:line="520" w:lineRule="exact"/>
        <w:rPr>
          <w:rFonts w:hint="eastAsia" w:ascii="宋体" w:hAnsi="宋体" w:eastAsia="宋体" w:cs="宋体"/>
          <w:b/>
          <w:bCs/>
          <w:color w:val="auto"/>
          <w:kern w:val="0"/>
          <w:sz w:val="24"/>
          <w:highlight w:val="none"/>
          <w:shd w:val="clear" w:color="auto" w:fill="FFFFFF"/>
          <w:lang w:bidi="ar"/>
        </w:rPr>
      </w:pPr>
    </w:p>
    <w:p w14:paraId="11941CAA">
      <w:pPr>
        <w:spacing w:line="520" w:lineRule="exac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供应商应根据自身情况，在功能参数偏离表中详细列明实际响应情况，并填写“偏离说明”。“偏离说明”栏注明“正偏离”、“负偏离”或“无偏离”。</w:t>
      </w:r>
    </w:p>
    <w:p w14:paraId="3691C3E7">
      <w:pPr>
        <w:pStyle w:val="10"/>
        <w:spacing w:line="600" w:lineRule="exact"/>
        <w:ind w:left="6240" w:hanging="6240" w:hangingChars="2600"/>
        <w:jc w:val="both"/>
        <w:rPr>
          <w:rFonts w:hint="eastAsia" w:ascii="宋体" w:hAnsi="宋体" w:eastAsia="宋体" w:cs="宋体"/>
          <w:bCs w:val="0"/>
          <w:color w:val="auto"/>
          <w:kern w:val="2"/>
          <w:sz w:val="24"/>
          <w:szCs w:val="24"/>
          <w:highlight w:val="none"/>
        </w:rPr>
      </w:pPr>
    </w:p>
    <w:p w14:paraId="5A6C123A">
      <w:pPr>
        <w:pStyle w:val="1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448C3A98">
      <w:pPr>
        <w:pStyle w:val="1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1B3F5C2D">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5B1C4EC5">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35923549">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33A44DF2">
      <w:pPr>
        <w:spacing w:line="520" w:lineRule="exact"/>
        <w:rPr>
          <w:rFonts w:hint="eastAsia" w:ascii="宋体" w:hAnsi="宋体" w:eastAsia="宋体" w:cs="宋体"/>
          <w:color w:val="auto"/>
          <w:kern w:val="0"/>
          <w:sz w:val="24"/>
          <w:highlight w:val="none"/>
          <w:shd w:val="clear" w:color="auto" w:fill="FFFFFF"/>
          <w:lang w:bidi="ar"/>
        </w:rPr>
      </w:pPr>
    </w:p>
    <w:p w14:paraId="7AAE97DA">
      <w:pPr>
        <w:spacing w:line="520" w:lineRule="exact"/>
        <w:rPr>
          <w:rFonts w:hint="eastAsia" w:ascii="宋体" w:hAnsi="宋体" w:eastAsia="宋体" w:cs="宋体"/>
          <w:color w:val="auto"/>
          <w:kern w:val="0"/>
          <w:sz w:val="24"/>
          <w:highlight w:val="none"/>
          <w:shd w:val="clear" w:color="auto" w:fill="FFFFFF"/>
          <w:lang w:bidi="ar"/>
        </w:rPr>
      </w:pPr>
    </w:p>
    <w:p w14:paraId="3E74CBC0">
      <w:pPr>
        <w:spacing w:line="520" w:lineRule="exact"/>
        <w:rPr>
          <w:rFonts w:hint="eastAsia" w:ascii="宋体" w:hAnsi="宋体" w:eastAsia="宋体" w:cs="宋体"/>
          <w:color w:val="auto"/>
          <w:kern w:val="0"/>
          <w:sz w:val="24"/>
          <w:highlight w:val="none"/>
          <w:shd w:val="clear" w:color="auto" w:fill="FFFFFF"/>
          <w:lang w:bidi="ar"/>
        </w:rPr>
      </w:pPr>
    </w:p>
    <w:p w14:paraId="6E4758A2">
      <w:pPr>
        <w:spacing w:line="520" w:lineRule="exact"/>
        <w:rPr>
          <w:rFonts w:hint="eastAsia" w:ascii="宋体" w:hAnsi="宋体" w:eastAsia="宋体" w:cs="宋体"/>
          <w:color w:val="auto"/>
          <w:kern w:val="0"/>
          <w:sz w:val="24"/>
          <w:highlight w:val="none"/>
          <w:shd w:val="clear" w:color="auto" w:fill="FFFFFF"/>
          <w:lang w:bidi="ar"/>
        </w:rPr>
      </w:pPr>
    </w:p>
    <w:p w14:paraId="710EB5AF">
      <w:pPr>
        <w:spacing w:line="520" w:lineRule="exact"/>
        <w:rPr>
          <w:rFonts w:hint="eastAsia" w:ascii="宋体" w:hAnsi="宋体" w:eastAsia="宋体" w:cs="宋体"/>
          <w:color w:val="auto"/>
          <w:kern w:val="0"/>
          <w:sz w:val="24"/>
          <w:highlight w:val="none"/>
          <w:shd w:val="clear" w:color="auto" w:fill="FFFFFF"/>
          <w:lang w:bidi="ar"/>
        </w:rPr>
      </w:pPr>
    </w:p>
    <w:p w14:paraId="0D64C357">
      <w:pPr>
        <w:spacing w:line="520" w:lineRule="exact"/>
        <w:rPr>
          <w:rFonts w:hint="eastAsia" w:ascii="宋体" w:hAnsi="宋体" w:eastAsia="宋体" w:cs="宋体"/>
          <w:color w:val="auto"/>
          <w:kern w:val="0"/>
          <w:sz w:val="24"/>
          <w:highlight w:val="none"/>
          <w:shd w:val="clear" w:color="auto" w:fill="FFFFFF"/>
          <w:lang w:bidi="ar"/>
        </w:rPr>
      </w:pPr>
    </w:p>
    <w:p w14:paraId="20D3082D">
      <w:pPr>
        <w:spacing w:line="520" w:lineRule="exact"/>
        <w:rPr>
          <w:rFonts w:hint="eastAsia" w:ascii="宋体" w:hAnsi="宋体" w:eastAsia="宋体" w:cs="宋体"/>
          <w:color w:val="auto"/>
          <w:kern w:val="0"/>
          <w:sz w:val="24"/>
          <w:highlight w:val="none"/>
          <w:shd w:val="clear" w:color="auto" w:fill="FFFFFF"/>
          <w:lang w:bidi="ar"/>
        </w:rPr>
      </w:pPr>
    </w:p>
    <w:p w14:paraId="1E3ABF6E">
      <w:pPr>
        <w:spacing w:line="520" w:lineRule="exact"/>
        <w:rPr>
          <w:rFonts w:hint="eastAsia" w:ascii="宋体" w:hAnsi="宋体" w:eastAsia="宋体" w:cs="宋体"/>
          <w:color w:val="auto"/>
          <w:kern w:val="0"/>
          <w:sz w:val="24"/>
          <w:highlight w:val="none"/>
          <w:shd w:val="clear" w:color="auto" w:fill="FFFFFF"/>
          <w:lang w:bidi="ar"/>
        </w:rPr>
      </w:pPr>
    </w:p>
    <w:p w14:paraId="2187D30B">
      <w:pPr>
        <w:spacing w:line="520" w:lineRule="exact"/>
        <w:rPr>
          <w:rFonts w:hint="eastAsia" w:ascii="宋体" w:hAnsi="宋体" w:eastAsia="宋体" w:cs="宋体"/>
          <w:color w:val="auto"/>
          <w:kern w:val="0"/>
          <w:sz w:val="24"/>
          <w:highlight w:val="none"/>
          <w:shd w:val="clear" w:color="auto" w:fill="FFFFFF"/>
          <w:lang w:bidi="ar"/>
        </w:rPr>
      </w:pPr>
    </w:p>
    <w:p w14:paraId="276815F7">
      <w:pPr>
        <w:spacing w:line="360" w:lineRule="auto"/>
        <w:jc w:val="left"/>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 xml:space="preserve">附件4： </w:t>
      </w:r>
      <w:r>
        <w:rPr>
          <w:rFonts w:hint="eastAsia" w:ascii="宋体" w:hAnsi="宋体" w:eastAsia="宋体" w:cs="宋体"/>
          <w:color w:val="auto"/>
          <w:kern w:val="0"/>
          <w:sz w:val="24"/>
          <w:highlight w:val="none"/>
          <w:shd w:val="clear" w:color="auto" w:fill="FFFFFF"/>
          <w:lang w:bidi="ar"/>
        </w:rPr>
        <w:t xml:space="preserve">   </w:t>
      </w:r>
    </w:p>
    <w:p w14:paraId="5A155926">
      <w:pPr>
        <w:spacing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参与调查供应商的基本信息</w:t>
      </w:r>
    </w:p>
    <w:p w14:paraId="1FD98EF3">
      <w:pPr>
        <w:spacing w:line="360" w:lineRule="auto"/>
        <w:ind w:firstLine="562" w:firstLineChars="200"/>
        <w:jc w:val="left"/>
        <w:rPr>
          <w:rFonts w:hint="eastAsia" w:ascii="宋体" w:hAnsi="宋体" w:eastAsia="宋体" w:cs="宋体"/>
          <w:b/>
          <w:bCs/>
          <w:color w:val="auto"/>
          <w:sz w:val="28"/>
          <w:szCs w:val="28"/>
          <w:highlight w:val="none"/>
        </w:rPr>
      </w:pPr>
    </w:p>
    <w:tbl>
      <w:tblPr>
        <w:tblStyle w:val="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039CFC4A">
        <w:tblPrEx>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8FA6493">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563FCD42">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6DB68056">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2469A8C1">
            <w:pPr>
              <w:spacing w:line="480" w:lineRule="exact"/>
              <w:rPr>
                <w:rFonts w:hint="eastAsia" w:ascii="宋体" w:hAnsi="宋体" w:cs="宋体"/>
                <w:color w:val="auto"/>
                <w:sz w:val="24"/>
                <w:highlight w:val="none"/>
              </w:rPr>
            </w:pPr>
          </w:p>
        </w:tc>
      </w:tr>
      <w:tr w14:paraId="1326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2997FCD0">
            <w:pPr>
              <w:spacing w:line="480" w:lineRule="exact"/>
              <w:jc w:val="center"/>
              <w:rPr>
                <w:rFonts w:hint="eastAsia" w:ascii="宋体" w:hAnsi="宋体" w:cs="宋体"/>
                <w:color w:val="auto"/>
                <w:sz w:val="24"/>
                <w:highlight w:val="none"/>
              </w:rPr>
            </w:pPr>
            <w:r>
              <w:rPr>
                <w:rFonts w:hint="eastAsia" w:ascii="宋体" w:hAnsi="宋体" w:cs="宋体"/>
                <w:color w:val="auto"/>
                <w:sz w:val="21"/>
                <w:szCs w:val="21"/>
                <w:highlight w:val="none"/>
              </w:rPr>
              <w:t>企业统一社会信用代码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12519298">
            <w:pPr>
              <w:spacing w:line="480" w:lineRule="exact"/>
              <w:jc w:val="center"/>
              <w:rPr>
                <w:rFonts w:hint="eastAsia" w:ascii="宋体" w:hAnsi="宋体" w:cs="宋体"/>
                <w:color w:val="auto"/>
                <w:sz w:val="24"/>
                <w:highlight w:val="none"/>
              </w:rPr>
            </w:pPr>
          </w:p>
        </w:tc>
      </w:tr>
      <w:tr w14:paraId="77A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8E388EF">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48D1535B">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10B1D52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6341A0AF">
            <w:pPr>
              <w:spacing w:line="480" w:lineRule="exact"/>
              <w:rPr>
                <w:rFonts w:hint="eastAsia" w:ascii="宋体" w:hAnsi="宋体" w:cs="宋体"/>
                <w:color w:val="auto"/>
                <w:sz w:val="24"/>
                <w:highlight w:val="none"/>
              </w:rPr>
            </w:pPr>
          </w:p>
        </w:tc>
      </w:tr>
      <w:tr w14:paraId="27C5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234ED1F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094392CD">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4C466606">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0640CC63">
            <w:pPr>
              <w:spacing w:line="480" w:lineRule="exact"/>
              <w:rPr>
                <w:rFonts w:hint="eastAsia" w:ascii="宋体" w:hAnsi="宋体" w:cs="宋体"/>
                <w:color w:val="auto"/>
                <w:sz w:val="24"/>
                <w:highlight w:val="none"/>
              </w:rPr>
            </w:pPr>
            <w:r>
              <w:rPr>
                <w:rFonts w:hint="eastAsia" w:ascii="宋体" w:hAnsi="宋体" w:cs="宋体"/>
                <w:color w:val="auto"/>
                <w:szCs w:val="21"/>
                <w:highlight w:val="none"/>
              </w:rPr>
              <w:t>大/中/小/微型企业</w:t>
            </w:r>
          </w:p>
        </w:tc>
      </w:tr>
      <w:tr w14:paraId="4BD5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66DFF527">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3D59F30B">
            <w:pPr>
              <w:spacing w:line="480" w:lineRule="exact"/>
              <w:rPr>
                <w:rFonts w:hint="eastAsia" w:ascii="宋体" w:hAnsi="宋体" w:cs="宋体"/>
                <w:color w:val="auto"/>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552AC89B">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0BDEA1F0">
            <w:pPr>
              <w:spacing w:line="480" w:lineRule="exact"/>
              <w:rPr>
                <w:rFonts w:hint="eastAsia" w:ascii="宋体" w:hAnsi="宋体" w:cs="宋体"/>
                <w:color w:val="auto"/>
                <w:sz w:val="24"/>
                <w:highlight w:val="none"/>
              </w:rPr>
            </w:pPr>
          </w:p>
        </w:tc>
      </w:tr>
      <w:tr w14:paraId="1BD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432AB9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39E1454B">
            <w:pPr>
              <w:spacing w:line="480" w:lineRule="exact"/>
              <w:rPr>
                <w:rFonts w:hint="eastAsia" w:ascii="宋体" w:hAnsi="宋体" w:cs="宋体"/>
                <w:color w:val="auto"/>
                <w:sz w:val="24"/>
                <w:highlight w:val="none"/>
              </w:rPr>
            </w:pPr>
          </w:p>
        </w:tc>
      </w:tr>
      <w:tr w14:paraId="0F57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0244F9B6">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1F4DAF1C">
            <w:pPr>
              <w:spacing w:line="480" w:lineRule="exact"/>
              <w:rPr>
                <w:rFonts w:hint="eastAsia" w:ascii="宋体" w:hAnsi="宋体" w:cs="宋体"/>
                <w:color w:val="auto"/>
                <w:sz w:val="24"/>
                <w:highlight w:val="none"/>
              </w:rPr>
            </w:pPr>
          </w:p>
        </w:tc>
      </w:tr>
      <w:tr w14:paraId="42C5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5417F4E9">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4B46EB82">
            <w:pPr>
              <w:spacing w:line="480" w:lineRule="exact"/>
              <w:rPr>
                <w:rFonts w:hint="eastAsia" w:ascii="宋体" w:hAnsi="宋体" w:cs="宋体"/>
                <w:color w:val="auto"/>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0476D130">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25C19620">
            <w:pPr>
              <w:spacing w:line="480" w:lineRule="exact"/>
              <w:rPr>
                <w:rFonts w:hint="eastAsia" w:ascii="宋体" w:hAnsi="宋体" w:cs="宋体"/>
                <w:color w:val="auto"/>
                <w:sz w:val="24"/>
                <w:highlight w:val="none"/>
              </w:rPr>
            </w:pPr>
          </w:p>
        </w:tc>
      </w:tr>
      <w:tr w14:paraId="3210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7B5B9F8C">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6E1D84C6">
            <w:pPr>
              <w:spacing w:line="480" w:lineRule="exact"/>
              <w:rPr>
                <w:rFonts w:hint="eastAsia" w:ascii="宋体" w:hAnsi="宋体" w:cs="宋体"/>
                <w:color w:val="auto"/>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4B535132">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1B81DE4">
            <w:pPr>
              <w:spacing w:line="480" w:lineRule="exact"/>
              <w:rPr>
                <w:rFonts w:hint="eastAsia" w:ascii="宋体" w:hAnsi="宋体" w:cs="宋体"/>
                <w:color w:val="auto"/>
                <w:sz w:val="24"/>
                <w:highlight w:val="none"/>
              </w:rPr>
            </w:pPr>
          </w:p>
        </w:tc>
      </w:tr>
      <w:tr w14:paraId="03A0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527B3505">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59B57ADA">
            <w:pPr>
              <w:spacing w:line="480" w:lineRule="exact"/>
              <w:rPr>
                <w:rFonts w:hint="eastAsia" w:ascii="宋体" w:hAnsi="宋体" w:cs="宋体"/>
                <w:color w:val="auto"/>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01A19FAF">
            <w:pPr>
              <w:spacing w:line="480" w:lineRule="exact"/>
              <w:jc w:val="center"/>
              <w:rPr>
                <w:rFonts w:hint="eastAsia" w:ascii="宋体" w:hAnsi="宋体" w:cs="宋体"/>
                <w:color w:val="auto"/>
                <w:sz w:val="24"/>
                <w:highlight w:val="none"/>
              </w:rPr>
            </w:pPr>
            <w:r>
              <w:rPr>
                <w:rFonts w:hint="eastAsia" w:ascii="宋体" w:hAnsi="宋体" w:cs="宋体"/>
                <w:color w:val="auto"/>
                <w:highlight w:val="none"/>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1949CB96">
            <w:pPr>
              <w:spacing w:line="480" w:lineRule="exact"/>
              <w:rPr>
                <w:rFonts w:hint="eastAsia" w:ascii="宋体" w:hAnsi="宋体" w:cs="宋体"/>
                <w:color w:val="auto"/>
                <w:sz w:val="24"/>
                <w:highlight w:val="none"/>
              </w:rPr>
            </w:pPr>
          </w:p>
        </w:tc>
      </w:tr>
    </w:tbl>
    <w:p w14:paraId="5B659934">
      <w:pPr>
        <w:spacing w:line="360" w:lineRule="auto"/>
        <w:ind w:firstLine="840" w:firstLineChars="300"/>
        <w:jc w:val="left"/>
        <w:rPr>
          <w:rFonts w:hint="eastAsia" w:ascii="宋体" w:hAnsi="宋体" w:eastAsia="宋体" w:cs="宋体"/>
          <w:i/>
          <w:iCs/>
          <w:color w:val="auto"/>
          <w:sz w:val="28"/>
          <w:szCs w:val="28"/>
          <w:highlight w:val="none"/>
          <w:u w:val="single"/>
        </w:rPr>
      </w:pPr>
    </w:p>
    <w:p w14:paraId="7A028E87">
      <w:pPr>
        <w:spacing w:line="360" w:lineRule="auto"/>
        <w:ind w:firstLine="840" w:firstLineChars="300"/>
        <w:jc w:val="left"/>
        <w:rPr>
          <w:rFonts w:hint="eastAsia" w:ascii="宋体" w:hAnsi="宋体" w:eastAsia="宋体" w:cs="宋体"/>
          <w:i/>
          <w:iCs/>
          <w:color w:val="auto"/>
          <w:sz w:val="28"/>
          <w:szCs w:val="28"/>
          <w:highlight w:val="none"/>
          <w:u w:val="single"/>
        </w:rPr>
      </w:pPr>
    </w:p>
    <w:p w14:paraId="14290D66">
      <w:pPr>
        <w:pStyle w:val="1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626C7028">
      <w:pPr>
        <w:pStyle w:val="1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2A2C03A4">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3FF1FB25">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44CB3240">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0B794D35">
      <w:pPr>
        <w:widowControl/>
        <w:spacing w:line="560" w:lineRule="exact"/>
        <w:jc w:val="left"/>
        <w:rPr>
          <w:rFonts w:hint="eastAsia" w:ascii="宋体" w:hAnsi="宋体" w:eastAsia="宋体" w:cs="宋体"/>
          <w:b/>
          <w:bCs/>
          <w:color w:val="auto"/>
          <w:kern w:val="0"/>
          <w:sz w:val="24"/>
          <w:highlight w:val="none"/>
          <w:shd w:val="clear" w:color="auto" w:fill="FFFFFF"/>
          <w:lang w:bidi="ar"/>
        </w:rPr>
      </w:pPr>
    </w:p>
    <w:p w14:paraId="66688052">
      <w:pPr>
        <w:pStyle w:val="2"/>
        <w:rPr>
          <w:rFonts w:hint="eastAsia"/>
        </w:rPr>
      </w:pPr>
    </w:p>
    <w:p w14:paraId="7F6891F4">
      <w:pPr>
        <w:pStyle w:val="2"/>
        <w:rPr>
          <w:rFonts w:hint="eastAsia"/>
        </w:rPr>
        <w:sectPr>
          <w:pgSz w:w="11906" w:h="16838"/>
          <w:pgMar w:top="1440" w:right="1800" w:bottom="1440" w:left="1800" w:header="851" w:footer="992" w:gutter="0"/>
          <w:cols w:space="425" w:num="1"/>
          <w:docGrid w:type="lines" w:linePitch="312" w:charSpace="0"/>
        </w:sectPr>
      </w:pPr>
    </w:p>
    <w:p w14:paraId="785FAE44">
      <w:pPr>
        <w:widowControl/>
        <w:spacing w:line="560" w:lineRule="exact"/>
        <w:jc w:val="left"/>
        <w:rPr>
          <w:rFonts w:hint="eastAsia" w:ascii="宋体" w:hAnsi="宋体" w:eastAsia="宋体" w:cs="宋体"/>
          <w:b/>
          <w:bCs/>
          <w:color w:val="auto"/>
          <w:kern w:val="0"/>
          <w:sz w:val="24"/>
          <w:highlight w:val="none"/>
          <w:shd w:val="clear" w:color="auto" w:fill="FFFFFF"/>
          <w:lang w:bidi="ar"/>
        </w:rPr>
      </w:pPr>
      <w:r>
        <w:rPr>
          <w:rFonts w:hint="eastAsia" w:ascii="宋体" w:hAnsi="宋体" w:eastAsia="宋体" w:cs="宋体"/>
          <w:b/>
          <w:bCs/>
          <w:color w:val="auto"/>
          <w:kern w:val="0"/>
          <w:sz w:val="24"/>
          <w:highlight w:val="none"/>
          <w:shd w:val="clear" w:color="auto" w:fill="FFFFFF"/>
          <w:lang w:bidi="ar"/>
        </w:rPr>
        <w:t>附件5：</w:t>
      </w:r>
    </w:p>
    <w:p w14:paraId="0625535E">
      <w:pPr>
        <w:widowControl/>
        <w:spacing w:line="560" w:lineRule="exact"/>
        <w:ind w:firstLine="640" w:firstLineChars="200"/>
        <w:jc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需求调查回复函</w:t>
      </w:r>
    </w:p>
    <w:p w14:paraId="2577E642">
      <w:pPr>
        <w:pStyle w:val="3"/>
        <w:rPr>
          <w:rFonts w:hint="eastAsia" w:ascii="宋体" w:hAnsi="宋体" w:eastAsia="宋体" w:cs="宋体"/>
          <w:color w:val="auto"/>
          <w:highlight w:val="none"/>
          <w:lang w:val="en-US"/>
        </w:rPr>
      </w:pPr>
    </w:p>
    <w:p w14:paraId="259894FE">
      <w:pPr>
        <w:pStyle w:val="3"/>
        <w:rPr>
          <w:rFonts w:hint="eastAsia" w:ascii="宋体" w:hAnsi="宋体" w:eastAsia="宋体" w:cs="宋体"/>
          <w:color w:val="auto"/>
          <w:highlight w:val="none"/>
        </w:rPr>
      </w:pPr>
    </w:p>
    <w:p w14:paraId="6A947E64">
      <w:pPr>
        <w:widowControl/>
        <w:spacing w:after="156" w:afterLines="50" w:line="560" w:lineRule="exact"/>
        <w:jc w:val="left"/>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single"/>
          <w:lang w:bidi="ar"/>
        </w:rPr>
        <w:t>广西中医药大学</w:t>
      </w:r>
      <w:r>
        <w:rPr>
          <w:rFonts w:hint="eastAsia" w:ascii="宋体" w:hAnsi="宋体" w:eastAsia="宋体" w:cs="宋体"/>
          <w:color w:val="auto"/>
          <w:kern w:val="0"/>
          <w:sz w:val="32"/>
          <w:szCs w:val="32"/>
          <w:highlight w:val="none"/>
          <w:lang w:bidi="ar"/>
        </w:rPr>
        <w:t>：</w:t>
      </w:r>
    </w:p>
    <w:p w14:paraId="631EA0DA">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根据贵单位发布的“</w:t>
      </w:r>
      <w:r>
        <w:rPr>
          <w:rFonts w:hint="eastAsia" w:ascii="宋体" w:hAnsi="宋体" w:cs="宋体"/>
          <w:color w:val="auto"/>
          <w:kern w:val="0"/>
          <w:sz w:val="32"/>
          <w:szCs w:val="32"/>
          <w:highlight w:val="none"/>
          <w:lang w:val="en-US" w:eastAsia="zh-CN" w:bidi="ar"/>
        </w:rPr>
        <w:t>XX</w:t>
      </w:r>
      <w:r>
        <w:rPr>
          <w:rFonts w:hint="eastAsia" w:ascii="宋体" w:hAnsi="宋体" w:eastAsia="宋体" w:cs="宋体"/>
          <w:color w:val="auto"/>
          <w:kern w:val="0"/>
          <w:sz w:val="32"/>
          <w:szCs w:val="32"/>
          <w:highlight w:val="none"/>
          <w:lang w:eastAsia="zh-CN" w:bidi="ar"/>
        </w:rPr>
        <w:t>系统</w:t>
      </w:r>
      <w:r>
        <w:rPr>
          <w:rFonts w:hint="eastAsia" w:ascii="宋体" w:hAnsi="宋体" w:eastAsia="宋体" w:cs="宋体"/>
          <w:color w:val="auto"/>
          <w:kern w:val="0"/>
          <w:sz w:val="32"/>
          <w:szCs w:val="32"/>
          <w:highlight w:val="none"/>
          <w:lang w:bidi="ar"/>
        </w:rPr>
        <w:t>建设需求市场调研公告”，我公司符合公告规定的资格条件，经我公司研究决定，我公司愿意参与该项目的需求调查，我公司承诺在本次调查中无其他不符合法律法规的行为。</w:t>
      </w:r>
    </w:p>
    <w:p w14:paraId="0EFE8375">
      <w:pPr>
        <w:pStyle w:val="3"/>
        <w:rPr>
          <w:rFonts w:hint="eastAsia" w:ascii="宋体" w:hAnsi="宋体" w:eastAsia="宋体" w:cs="宋体"/>
          <w:color w:val="auto"/>
          <w:highlight w:val="none"/>
        </w:rPr>
      </w:pPr>
    </w:p>
    <w:p w14:paraId="652EB3FF">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附：公司《营业执照》及相关资质证书复印件</w:t>
      </w:r>
    </w:p>
    <w:p w14:paraId="1DC88E2B">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69552C58">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6B22ACE8">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4AF82148">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44885F8B">
      <w:pPr>
        <w:widowControl/>
        <w:spacing w:line="560" w:lineRule="exact"/>
        <w:ind w:firstLine="640" w:firstLineChars="200"/>
        <w:jc w:val="left"/>
        <w:rPr>
          <w:rFonts w:hint="eastAsia" w:ascii="宋体" w:hAnsi="宋体" w:eastAsia="宋体" w:cs="宋体"/>
          <w:color w:val="auto"/>
          <w:kern w:val="0"/>
          <w:sz w:val="32"/>
          <w:szCs w:val="32"/>
          <w:highlight w:val="none"/>
          <w:lang w:bidi="ar"/>
        </w:rPr>
      </w:pPr>
    </w:p>
    <w:p w14:paraId="710B26FA">
      <w:pPr>
        <w:pStyle w:val="10"/>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u w:val="single"/>
        </w:rPr>
        <w:t xml:space="preserve">                               </w:t>
      </w:r>
    </w:p>
    <w:p w14:paraId="5A49FB3B">
      <w:pPr>
        <w:pStyle w:val="10"/>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u w:val="single"/>
        </w:rPr>
        <w:t xml:space="preserve">                                     </w:t>
      </w:r>
    </w:p>
    <w:p w14:paraId="4096AEBE">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u w:val="single"/>
        </w:rPr>
        <w:t xml:space="preserve">                                     </w:t>
      </w:r>
    </w:p>
    <w:p w14:paraId="11543B20">
      <w:pPr>
        <w:pStyle w:val="10"/>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r>
        <w:rPr>
          <w:rFonts w:hint="eastAsia" w:ascii="宋体" w:hAnsi="宋体" w:eastAsia="宋体" w:cs="宋体"/>
          <w:bCs w:val="0"/>
          <w:color w:val="auto"/>
          <w:kern w:val="2"/>
          <w:sz w:val="24"/>
          <w:szCs w:val="24"/>
          <w:highlight w:val="none"/>
          <w:u w:val="single"/>
        </w:rPr>
        <w:t xml:space="preserve">                                     </w:t>
      </w:r>
    </w:p>
    <w:p w14:paraId="20DDC80A">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p>
    <w:p w14:paraId="06EFE655">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A2F9D"/>
    <w:multiLevelType w:val="singleLevel"/>
    <w:tmpl w:val="9E2A2F9D"/>
    <w:lvl w:ilvl="0" w:tentative="0">
      <w:start w:val="1"/>
      <w:numFmt w:val="decimal"/>
      <w:lvlText w:val="%1."/>
      <w:lvlJc w:val="left"/>
      <w:pPr>
        <w:ind w:left="425" w:hanging="425"/>
      </w:pPr>
      <w:rPr>
        <w:rFonts w:hint="default"/>
      </w:rPr>
    </w:lvl>
  </w:abstractNum>
  <w:abstractNum w:abstractNumId="1">
    <w:nsid w:val="9FA632A1"/>
    <w:multiLevelType w:val="singleLevel"/>
    <w:tmpl w:val="9FA632A1"/>
    <w:lvl w:ilvl="0" w:tentative="0">
      <w:start w:val="1"/>
      <w:numFmt w:val="decimal"/>
      <w:lvlText w:val="%1."/>
      <w:lvlJc w:val="left"/>
      <w:pPr>
        <w:ind w:left="425" w:hanging="425"/>
      </w:pPr>
      <w:rPr>
        <w:rFonts w:hint="default"/>
      </w:rPr>
    </w:lvl>
  </w:abstractNum>
  <w:abstractNum w:abstractNumId="2">
    <w:nsid w:val="A7B508EB"/>
    <w:multiLevelType w:val="singleLevel"/>
    <w:tmpl w:val="A7B508EB"/>
    <w:lvl w:ilvl="0" w:tentative="0">
      <w:start w:val="5"/>
      <w:numFmt w:val="chineseCounting"/>
      <w:suff w:val="nothing"/>
      <w:lvlText w:val="%1、"/>
      <w:lvlJc w:val="left"/>
      <w:rPr>
        <w:rFonts w:hint="eastAsia"/>
      </w:rPr>
    </w:lvl>
  </w:abstractNum>
  <w:abstractNum w:abstractNumId="3">
    <w:nsid w:val="A9A12858"/>
    <w:multiLevelType w:val="singleLevel"/>
    <w:tmpl w:val="A9A12858"/>
    <w:lvl w:ilvl="0" w:tentative="0">
      <w:start w:val="1"/>
      <w:numFmt w:val="decimal"/>
      <w:lvlText w:val="%1."/>
      <w:lvlJc w:val="left"/>
      <w:pPr>
        <w:ind w:left="425" w:hanging="425"/>
      </w:pPr>
      <w:rPr>
        <w:rFonts w:hint="default"/>
      </w:rPr>
    </w:lvl>
  </w:abstractNum>
  <w:abstractNum w:abstractNumId="4">
    <w:nsid w:val="B21CABE2"/>
    <w:multiLevelType w:val="singleLevel"/>
    <w:tmpl w:val="B21CABE2"/>
    <w:lvl w:ilvl="0" w:tentative="0">
      <w:start w:val="1"/>
      <w:numFmt w:val="decimal"/>
      <w:lvlText w:val="%1."/>
      <w:lvlJc w:val="left"/>
      <w:pPr>
        <w:ind w:left="425" w:hanging="425"/>
      </w:pPr>
      <w:rPr>
        <w:rFonts w:hint="default"/>
      </w:rPr>
    </w:lvl>
  </w:abstractNum>
  <w:abstractNum w:abstractNumId="5">
    <w:nsid w:val="B3F2D54D"/>
    <w:multiLevelType w:val="singleLevel"/>
    <w:tmpl w:val="B3F2D54D"/>
    <w:lvl w:ilvl="0" w:tentative="0">
      <w:start w:val="1"/>
      <w:numFmt w:val="decimalEnclosedCircleChinese"/>
      <w:suff w:val="nothing"/>
      <w:lvlText w:val="%1　"/>
      <w:lvlJc w:val="left"/>
      <w:pPr>
        <w:ind w:left="0" w:firstLine="567"/>
      </w:pPr>
      <w:rPr>
        <w:rFonts w:hint="eastAsia"/>
      </w:rPr>
    </w:lvl>
  </w:abstractNum>
  <w:abstractNum w:abstractNumId="6">
    <w:nsid w:val="D92D1879"/>
    <w:multiLevelType w:val="singleLevel"/>
    <w:tmpl w:val="D92D1879"/>
    <w:lvl w:ilvl="0" w:tentative="0">
      <w:start w:val="1"/>
      <w:numFmt w:val="decimal"/>
      <w:lvlText w:val="%1."/>
      <w:lvlJc w:val="left"/>
      <w:pPr>
        <w:tabs>
          <w:tab w:val="left" w:pos="420"/>
        </w:tabs>
        <w:ind w:left="425" w:leftChars="0" w:hanging="425" w:firstLineChars="0"/>
      </w:pPr>
      <w:rPr>
        <w:rFonts w:hint="default"/>
      </w:rPr>
    </w:lvl>
  </w:abstractNum>
  <w:abstractNum w:abstractNumId="7">
    <w:nsid w:val="DF0C0AEF"/>
    <w:multiLevelType w:val="singleLevel"/>
    <w:tmpl w:val="DF0C0AEF"/>
    <w:lvl w:ilvl="0" w:tentative="0">
      <w:start w:val="1"/>
      <w:numFmt w:val="decimal"/>
      <w:lvlText w:val="%1."/>
      <w:lvlJc w:val="left"/>
      <w:pPr>
        <w:ind w:left="425" w:hanging="425"/>
      </w:pPr>
      <w:rPr>
        <w:rFonts w:hint="default"/>
      </w:rPr>
    </w:lvl>
  </w:abstractNum>
  <w:abstractNum w:abstractNumId="8">
    <w:nsid w:val="EBAE1A4F"/>
    <w:multiLevelType w:val="singleLevel"/>
    <w:tmpl w:val="EBAE1A4F"/>
    <w:lvl w:ilvl="0" w:tentative="0">
      <w:start w:val="1"/>
      <w:numFmt w:val="decimal"/>
      <w:lvlText w:val="%1."/>
      <w:lvlJc w:val="left"/>
      <w:pPr>
        <w:tabs>
          <w:tab w:val="left" w:pos="420"/>
        </w:tabs>
        <w:ind w:left="425" w:leftChars="0" w:hanging="425" w:firstLineChars="0"/>
      </w:pPr>
      <w:rPr>
        <w:rFonts w:hint="default"/>
      </w:rPr>
    </w:lvl>
  </w:abstractNum>
  <w:abstractNum w:abstractNumId="9">
    <w:nsid w:val="00419141"/>
    <w:multiLevelType w:val="singleLevel"/>
    <w:tmpl w:val="00419141"/>
    <w:lvl w:ilvl="0" w:tentative="0">
      <w:start w:val="1"/>
      <w:numFmt w:val="decimal"/>
      <w:lvlText w:val="%1."/>
      <w:lvlJc w:val="left"/>
      <w:pPr>
        <w:ind w:left="425" w:hanging="425"/>
      </w:pPr>
      <w:rPr>
        <w:rFonts w:hint="default"/>
      </w:rPr>
    </w:lvl>
  </w:abstractNum>
  <w:abstractNum w:abstractNumId="10">
    <w:nsid w:val="2C6E2FF3"/>
    <w:multiLevelType w:val="singleLevel"/>
    <w:tmpl w:val="2C6E2FF3"/>
    <w:lvl w:ilvl="0" w:tentative="0">
      <w:start w:val="1"/>
      <w:numFmt w:val="decimal"/>
      <w:lvlText w:val="%1."/>
      <w:lvlJc w:val="left"/>
      <w:pPr>
        <w:ind w:left="425" w:hanging="425"/>
      </w:pPr>
      <w:rPr>
        <w:rFonts w:hint="default"/>
      </w:rPr>
    </w:lvl>
  </w:abstractNum>
  <w:abstractNum w:abstractNumId="11">
    <w:nsid w:val="4C55C964"/>
    <w:multiLevelType w:val="singleLevel"/>
    <w:tmpl w:val="4C55C964"/>
    <w:lvl w:ilvl="0" w:tentative="0">
      <w:start w:val="1"/>
      <w:numFmt w:val="decimal"/>
      <w:lvlText w:val="%1."/>
      <w:lvlJc w:val="left"/>
      <w:pPr>
        <w:ind w:left="425" w:hanging="425"/>
      </w:pPr>
      <w:rPr>
        <w:rFonts w:hint="default"/>
      </w:rPr>
    </w:lvl>
  </w:abstractNum>
  <w:abstractNum w:abstractNumId="12">
    <w:nsid w:val="787C5BE4"/>
    <w:multiLevelType w:val="singleLevel"/>
    <w:tmpl w:val="787C5BE4"/>
    <w:lvl w:ilvl="0" w:tentative="0">
      <w:start w:val="1"/>
      <w:numFmt w:val="decimal"/>
      <w:lvlText w:val="%1."/>
      <w:lvlJc w:val="left"/>
      <w:pPr>
        <w:ind w:left="425" w:hanging="425"/>
      </w:pPr>
      <w:rPr>
        <w:rFonts w:hint="default"/>
      </w:rPr>
    </w:lvl>
  </w:abstractNum>
  <w:abstractNum w:abstractNumId="13">
    <w:nsid w:val="7C36A545"/>
    <w:multiLevelType w:val="singleLevel"/>
    <w:tmpl w:val="7C36A545"/>
    <w:lvl w:ilvl="0" w:tentative="0">
      <w:start w:val="1"/>
      <w:numFmt w:val="decimal"/>
      <w:lvlText w:val="%1."/>
      <w:lvlJc w:val="left"/>
      <w:pPr>
        <w:tabs>
          <w:tab w:val="left" w:pos="420"/>
        </w:tabs>
        <w:ind w:left="425" w:leftChars="0" w:hanging="425" w:firstLineChars="0"/>
      </w:pPr>
      <w:rPr>
        <w:rFonts w:hint="default"/>
      </w:rPr>
    </w:lvl>
  </w:abstractNum>
  <w:num w:numId="1">
    <w:abstractNumId w:val="8"/>
  </w:num>
  <w:num w:numId="2">
    <w:abstractNumId w:val="3"/>
  </w:num>
  <w:num w:numId="3">
    <w:abstractNumId w:val="13"/>
  </w:num>
  <w:num w:numId="4">
    <w:abstractNumId w:val="9"/>
  </w:num>
  <w:num w:numId="5">
    <w:abstractNumId w:val="2"/>
  </w:num>
  <w:num w:numId="6">
    <w:abstractNumId w:val="1"/>
  </w:num>
  <w:num w:numId="7">
    <w:abstractNumId w:val="11"/>
  </w:num>
  <w:num w:numId="8">
    <w:abstractNumId w:val="7"/>
  </w:num>
  <w:num w:numId="9">
    <w:abstractNumId w:val="12"/>
  </w:num>
  <w:num w:numId="10">
    <w:abstractNumId w:val="4"/>
  </w:num>
  <w:num w:numId="11">
    <w:abstractNumId w:val="0"/>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F0D4D"/>
    <w:rsid w:val="0F3172D3"/>
    <w:rsid w:val="12B75DF4"/>
    <w:rsid w:val="21042B4C"/>
    <w:rsid w:val="23447230"/>
    <w:rsid w:val="2B840108"/>
    <w:rsid w:val="2BFA5278"/>
    <w:rsid w:val="2F0361F1"/>
    <w:rsid w:val="34EA13D9"/>
    <w:rsid w:val="39206DBB"/>
    <w:rsid w:val="515B064E"/>
    <w:rsid w:val="52AB2578"/>
    <w:rsid w:val="52F51A03"/>
    <w:rsid w:val="6E3336F6"/>
    <w:rsid w:val="714F69EE"/>
    <w:rsid w:val="751D0C5C"/>
    <w:rsid w:val="798B088A"/>
    <w:rsid w:val="7F66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微软雅黑"/>
    <w:basedOn w:val="1"/>
    <w:qFormat/>
    <w:uiPriority w:val="0"/>
    <w:pPr>
      <w:jc w:val="left"/>
    </w:pPr>
    <w:rPr>
      <w:rFonts w:ascii="微软雅黑" w:hAnsi="微软雅黑" w:eastAsia="微软雅黑" w:cs="微软雅黑"/>
      <w:sz w:val="24"/>
    </w:rPr>
  </w:style>
  <w:style w:type="paragraph" w:styleId="3">
    <w:name w:val="Body Text"/>
    <w:basedOn w:val="1"/>
    <w:next w:val="1"/>
    <w:unhideWhenUsed/>
    <w:qFormat/>
    <w:uiPriority w:val="99"/>
    <w:pPr>
      <w:spacing w:after="120"/>
    </w:pPr>
    <w:rPr>
      <w:lang w:val="zh-CN"/>
    </w:rPr>
  </w:style>
  <w:style w:type="paragraph" w:styleId="4">
    <w:name w:val="Body Text First Indent"/>
    <w:basedOn w:val="3"/>
    <w:next w:val="1"/>
    <w:qFormat/>
    <w:uiPriority w:val="99"/>
    <w:pPr>
      <w:spacing w:line="500" w:lineRule="exact"/>
      <w:ind w:firstLine="510"/>
    </w:pPr>
    <w:rPr>
      <w:sz w:val="28"/>
      <w:lang w:val="en-U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正"/>
    <w:basedOn w:val="1"/>
    <w:qFormat/>
    <w:uiPriority w:val="0"/>
    <w:pPr>
      <w:spacing w:line="560" w:lineRule="exact"/>
      <w:ind w:firstLine="561"/>
    </w:pPr>
    <w:rPr>
      <w:sz w:val="28"/>
      <w:szCs w:val="28"/>
    </w:rPr>
  </w:style>
  <w:style w:type="paragraph" w:customStyle="1" w:styleId="9">
    <w:name w:val="HTML 预设格式1"/>
    <w:basedOn w:val="1"/>
    <w:autoRedefine/>
    <w:qFormat/>
    <w:uiPriority w:val="0"/>
    <w:pPr>
      <w:widowControl/>
      <w:spacing w:line="330" w:lineRule="atLeast"/>
      <w:jc w:val="left"/>
    </w:pPr>
    <w:rPr>
      <w:rFonts w:ascii="Arial" w:hAnsi="Arial"/>
      <w:kern w:val="0"/>
      <w:szCs w:val="21"/>
    </w:rPr>
  </w:style>
  <w:style w:type="paragraph" w:customStyle="1" w:styleId="10">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6909</Words>
  <Characters>6968</Characters>
  <Lines>0</Lines>
  <Paragraphs>0</Paragraphs>
  <TotalTime>6</TotalTime>
  <ScaleCrop>false</ScaleCrop>
  <LinksUpToDate>false</LinksUpToDate>
  <CharactersWithSpaces>7770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2026-03-25T09:32:00Z</dcterms:created>
  <dc:creator>dell</dc:creator>
  <cp:lastModifiedBy>SONG</cp:lastModifiedBy>
  <dcterms:modified xsi:type="dcterms:W3CDTF">2026-04-08T08:46:20Z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eyJoZGlkIjoiNTM1M2ZiYTQ2ODUwMTY4OTY0OGY3YWVhYWVjZTEwMjEiLCJ1c2VySWQiOiI1NDEzMzE0OTQifQ==</vt:lpwstr>
  </property>
  <property fmtid="{D5CDD505-2E9C-101B-9397-08002B2CF9AE}" pid="4" name="ICV">
    <vt:lpwstr>52761B8277BB47B1A334CE3813A54B2D_12</vt:lpwstr>
  </property>
</Properties>
</file>